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F3" w:rsidRDefault="001F0BF3" w:rsidP="00C472A7">
      <w:pPr>
        <w:pStyle w:val="Corpodeltesto"/>
        <w:ind w:firstLine="0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Terms of Reference</w:t>
      </w:r>
    </w:p>
    <w:p w:rsidR="003A5AE7" w:rsidRDefault="003A5AE7" w:rsidP="00075119">
      <w:pPr>
        <w:pStyle w:val="Corpodeltesto"/>
        <w:ind w:firstLine="0"/>
        <w:jc w:val="center"/>
        <w:rPr>
          <w:b/>
          <w:lang w:val="en-US"/>
        </w:rPr>
      </w:pPr>
    </w:p>
    <w:p w:rsidR="009155DA" w:rsidRDefault="001B71DE" w:rsidP="00075119">
      <w:pPr>
        <w:pStyle w:val="Corpodeltesto"/>
        <w:ind w:firstLine="0"/>
        <w:jc w:val="center"/>
        <w:rPr>
          <w:b/>
          <w:lang w:val="en-US"/>
        </w:rPr>
      </w:pPr>
      <w:r>
        <w:rPr>
          <w:b/>
          <w:lang w:val="en-US"/>
        </w:rPr>
        <w:t xml:space="preserve">PFASs and alternatives: </w:t>
      </w:r>
      <w:r w:rsidR="009155DA">
        <w:rPr>
          <w:b/>
          <w:lang w:val="en-US"/>
        </w:rPr>
        <w:t>Report on Commercial Availability and Current U</w:t>
      </w:r>
      <w:r>
        <w:rPr>
          <w:b/>
          <w:lang w:val="en-US"/>
        </w:rPr>
        <w:t xml:space="preserve">ses </w:t>
      </w:r>
    </w:p>
    <w:p w:rsidR="009155DA" w:rsidRDefault="009155DA" w:rsidP="00075119">
      <w:pPr>
        <w:pStyle w:val="Corpodeltesto"/>
        <w:ind w:firstLine="0"/>
        <w:jc w:val="center"/>
        <w:rPr>
          <w:b/>
          <w:lang w:val="en-US"/>
        </w:rPr>
      </w:pPr>
    </w:p>
    <w:p w:rsidR="00C472A7" w:rsidRPr="0003789D" w:rsidRDefault="00C472A7" w:rsidP="00C472A7">
      <w:pPr>
        <w:pStyle w:val="Corpodeltesto"/>
        <w:ind w:firstLine="0"/>
        <w:rPr>
          <w:b/>
          <w:lang w:val="en-US"/>
        </w:rPr>
      </w:pPr>
      <w:r w:rsidRPr="0003789D">
        <w:rPr>
          <w:b/>
          <w:lang w:val="en-US"/>
        </w:rPr>
        <w:t>Background</w:t>
      </w:r>
    </w:p>
    <w:p w:rsidR="00C472A7" w:rsidRPr="00741AFB" w:rsidRDefault="00C472A7" w:rsidP="00C472A7">
      <w:pPr>
        <w:pStyle w:val="Corpodeltesto"/>
        <w:ind w:firstLine="0"/>
        <w:rPr>
          <w:color w:val="000000"/>
          <w:shd w:val="clear" w:color="auto" w:fill="FFFFFF"/>
        </w:rPr>
      </w:pPr>
      <w:r w:rsidRPr="00741AFB">
        <w:rPr>
          <w:color w:val="000000"/>
          <w:shd w:val="clear" w:color="auto" w:fill="FFFFFF"/>
        </w:rPr>
        <w:t xml:space="preserve">The OECD/UNEP Global PFC Group was set up </w:t>
      </w:r>
      <w:r w:rsidR="006E5BF7">
        <w:rPr>
          <w:color w:val="000000"/>
          <w:shd w:val="clear" w:color="auto" w:fill="FFFFFF"/>
        </w:rPr>
        <w:t xml:space="preserve">to </w:t>
      </w:r>
      <w:r w:rsidRPr="00741AFB">
        <w:rPr>
          <w:color w:val="000000"/>
          <w:shd w:val="clear" w:color="auto" w:fill="FFFFFF"/>
        </w:rPr>
        <w:t>facilitate the exchange of information on per and poly-fluorinated chemicals, focusing specif</w:t>
      </w:r>
      <w:r>
        <w:rPr>
          <w:color w:val="000000"/>
          <w:shd w:val="clear" w:color="auto" w:fill="FFFFFF"/>
        </w:rPr>
        <w:t>i</w:t>
      </w:r>
      <w:r w:rsidRPr="00741AFB">
        <w:rPr>
          <w:color w:val="000000"/>
          <w:shd w:val="clear" w:color="auto" w:fill="FFFFFF"/>
        </w:rPr>
        <w:t xml:space="preserve">cally on per- and </w:t>
      </w:r>
      <w:proofErr w:type="spellStart"/>
      <w:r w:rsidRPr="00741AFB">
        <w:rPr>
          <w:color w:val="000000"/>
          <w:shd w:val="clear" w:color="auto" w:fill="FFFFFF"/>
        </w:rPr>
        <w:t>polyfluoroalkyl</w:t>
      </w:r>
      <w:proofErr w:type="spellEnd"/>
      <w:r w:rsidRPr="00741AFB">
        <w:rPr>
          <w:color w:val="000000"/>
          <w:shd w:val="clear" w:color="auto" w:fill="FFFFFF"/>
        </w:rPr>
        <w:t xml:space="preserve"> substances (PFASs), and to support a global transition towards safer alternatives. The Group was established in response to the International Conference on Chemicals Management - </w:t>
      </w:r>
      <w:r>
        <w:rPr>
          <w:color w:val="000000"/>
          <w:shd w:val="clear" w:color="auto" w:fill="FFFFFF"/>
        </w:rPr>
        <w:t xml:space="preserve">ICCM </w:t>
      </w:r>
      <w:r w:rsidRPr="00741AFB">
        <w:rPr>
          <w:color w:val="000000"/>
          <w:shd w:val="clear" w:color="auto" w:fill="FFFFFF"/>
        </w:rPr>
        <w:t>Resolution II/5.</w:t>
      </w:r>
    </w:p>
    <w:p w:rsidR="00C472A7" w:rsidRPr="00741AFB" w:rsidRDefault="00C472A7" w:rsidP="00C472A7">
      <w:pPr>
        <w:pStyle w:val="Corpodeltesto"/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of the key work streams of the group is to gather information on</w:t>
      </w:r>
      <w:r w:rsidR="006E5BF7">
        <w:rPr>
          <w:color w:val="000000"/>
          <w:shd w:val="clear" w:color="auto" w:fill="FFFFFF"/>
        </w:rPr>
        <w:t xml:space="preserve"> alternatives in an aim to understand </w:t>
      </w:r>
      <w:r>
        <w:rPr>
          <w:color w:val="000000"/>
          <w:shd w:val="clear" w:color="auto" w:fill="FFFFFF"/>
        </w:rPr>
        <w:t>-</w:t>
      </w:r>
      <w:r w:rsidR="006E5BF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what are they, what are they used for, their market penetration</w:t>
      </w:r>
      <w:r w:rsidR="00806658">
        <w:rPr>
          <w:color w:val="000000"/>
          <w:shd w:val="clear" w:color="auto" w:fill="FFFFFF"/>
        </w:rPr>
        <w:t>, feasibility, effectiveness,</w:t>
      </w:r>
      <w:r>
        <w:rPr>
          <w:color w:val="000000"/>
          <w:shd w:val="clear" w:color="auto" w:fill="FFFFFF"/>
        </w:rPr>
        <w:t xml:space="preserve"> and cost. </w:t>
      </w:r>
    </w:p>
    <w:p w:rsidR="00C472A7" w:rsidRPr="00741AFB" w:rsidRDefault="00C472A7" w:rsidP="00C472A7">
      <w:pPr>
        <w:pStyle w:val="Corpodeltesto"/>
        <w:ind w:firstLine="0"/>
        <w:rPr>
          <w:b/>
          <w:lang w:val="en-US"/>
        </w:rPr>
      </w:pPr>
      <w:r w:rsidRPr="00741AFB">
        <w:rPr>
          <w:b/>
          <w:lang w:val="en-US"/>
        </w:rPr>
        <w:t>Objective and tasks</w:t>
      </w:r>
    </w:p>
    <w:p w:rsidR="005941A9" w:rsidRDefault="00C472A7" w:rsidP="00C472A7">
      <w:pPr>
        <w:pStyle w:val="Corpodeltesto"/>
        <w:ind w:firstLine="0"/>
        <w:rPr>
          <w:lang w:val="en-US"/>
        </w:rPr>
      </w:pPr>
      <w:r w:rsidRPr="005B6CE9">
        <w:rPr>
          <w:lang w:val="en-US"/>
        </w:rPr>
        <w:t xml:space="preserve">The purpose of this </w:t>
      </w:r>
      <w:r w:rsidR="006E5BF7">
        <w:rPr>
          <w:lang w:val="en-US"/>
        </w:rPr>
        <w:t>contract</w:t>
      </w:r>
      <w:r w:rsidR="006E5BF7" w:rsidRPr="005B6CE9">
        <w:rPr>
          <w:lang w:val="en-US"/>
        </w:rPr>
        <w:t xml:space="preserve"> </w:t>
      </w:r>
      <w:r w:rsidRPr="005B6CE9">
        <w:rPr>
          <w:lang w:val="en-US"/>
        </w:rPr>
        <w:t xml:space="preserve">is to develop a report on </w:t>
      </w:r>
      <w:r w:rsidR="00D843F1">
        <w:rPr>
          <w:lang w:val="en-US"/>
        </w:rPr>
        <w:t xml:space="preserve">Commercial </w:t>
      </w:r>
      <w:r w:rsidR="00E971A5" w:rsidRPr="00CA228B">
        <w:rPr>
          <w:lang w:val="en-US"/>
        </w:rPr>
        <w:t xml:space="preserve">Availability and </w:t>
      </w:r>
      <w:r w:rsidRPr="00CA228B">
        <w:rPr>
          <w:lang w:val="en-US"/>
        </w:rPr>
        <w:t xml:space="preserve">Current Uses </w:t>
      </w:r>
      <w:r w:rsidR="003A5AE7">
        <w:rPr>
          <w:lang w:val="en-US"/>
        </w:rPr>
        <w:t>of a</w:t>
      </w:r>
      <w:r w:rsidRPr="00CA228B">
        <w:rPr>
          <w:lang w:val="en-US"/>
        </w:rPr>
        <w:t xml:space="preserve">lternatives to PFASs. </w:t>
      </w:r>
      <w:r w:rsidR="00D9417F">
        <w:rPr>
          <w:lang w:val="en-US"/>
        </w:rPr>
        <w:t xml:space="preserve">The report will </w:t>
      </w:r>
      <w:r w:rsidR="005941A9">
        <w:rPr>
          <w:lang w:val="en-US"/>
        </w:rPr>
        <w:t xml:space="preserve">be </w:t>
      </w:r>
      <w:proofErr w:type="spellStart"/>
      <w:r w:rsidR="00D33D42">
        <w:rPr>
          <w:lang w:val="en-US"/>
        </w:rPr>
        <w:t>organis</w:t>
      </w:r>
      <w:r w:rsidR="005941A9">
        <w:rPr>
          <w:lang w:val="en-US"/>
        </w:rPr>
        <w:t>ed</w:t>
      </w:r>
      <w:proofErr w:type="spellEnd"/>
      <w:r w:rsidR="005941A9">
        <w:rPr>
          <w:lang w:val="en-US"/>
        </w:rPr>
        <w:t xml:space="preserve"> per sector/use</w:t>
      </w:r>
      <w:r w:rsidR="0004494E">
        <w:rPr>
          <w:lang w:val="en-US"/>
        </w:rPr>
        <w:t xml:space="preserve"> (see Annex)</w:t>
      </w:r>
      <w:r w:rsidR="005941A9">
        <w:rPr>
          <w:lang w:val="en-US"/>
        </w:rPr>
        <w:t>. Information and data will be gathered using:</w:t>
      </w:r>
    </w:p>
    <w:p w:rsidR="005941A9" w:rsidRPr="005941A9" w:rsidRDefault="005941A9" w:rsidP="005941A9">
      <w:pPr>
        <w:pStyle w:val="Corpodeltesto"/>
        <w:numPr>
          <w:ilvl w:val="0"/>
          <w:numId w:val="3"/>
        </w:numPr>
      </w:pPr>
      <w:r>
        <w:rPr>
          <w:lang w:val="en-US"/>
        </w:rPr>
        <w:t>Publically available information</w:t>
      </w:r>
      <w:r w:rsidR="003510D6">
        <w:rPr>
          <w:lang w:val="en-US"/>
        </w:rPr>
        <w:t xml:space="preserve"> (e.g. information</w:t>
      </w:r>
      <w:r>
        <w:rPr>
          <w:lang w:val="en-US"/>
        </w:rPr>
        <w:t xml:space="preserve"> collected in the framework of the </w:t>
      </w:r>
      <w:r w:rsidR="003510D6">
        <w:rPr>
          <w:lang w:val="en-US"/>
        </w:rPr>
        <w:t>Stockholm</w:t>
      </w:r>
      <w:r>
        <w:rPr>
          <w:lang w:val="en-US"/>
        </w:rPr>
        <w:t xml:space="preserve"> Convention</w:t>
      </w:r>
      <w:r w:rsidR="003510D6">
        <w:rPr>
          <w:lang w:val="en-US"/>
        </w:rPr>
        <w:t>)</w:t>
      </w:r>
      <w:r w:rsidR="00D33D42">
        <w:rPr>
          <w:lang w:val="en-US"/>
        </w:rPr>
        <w:t>. Members of the PFC Group will be invited to provide relevant resources that could support the development of the report</w:t>
      </w:r>
      <w:r>
        <w:rPr>
          <w:lang w:val="en-US"/>
        </w:rPr>
        <w:t>;</w:t>
      </w:r>
    </w:p>
    <w:p w:rsidR="00626833" w:rsidRDefault="005941A9" w:rsidP="002B0250">
      <w:pPr>
        <w:pStyle w:val="Corpodeltesto"/>
        <w:numPr>
          <w:ilvl w:val="0"/>
          <w:numId w:val="3"/>
        </w:numPr>
      </w:pPr>
      <w:r>
        <w:rPr>
          <w:lang w:val="en-US"/>
        </w:rPr>
        <w:t xml:space="preserve"> </w:t>
      </w:r>
      <w:r w:rsidR="00B93F4C">
        <w:rPr>
          <w:lang w:val="en-US"/>
        </w:rPr>
        <w:t>Information collected through a data collection template that will be circulated to members of the PFC Group and that industry participants</w:t>
      </w:r>
      <w:r w:rsidR="004A7ADE">
        <w:rPr>
          <w:lang w:val="en-US"/>
        </w:rPr>
        <w:t xml:space="preserve"> (manufacturers and downstream users)</w:t>
      </w:r>
      <w:r w:rsidR="00B93F4C">
        <w:rPr>
          <w:lang w:val="en-US"/>
        </w:rPr>
        <w:t xml:space="preserve"> will be invited to complete.</w:t>
      </w:r>
    </w:p>
    <w:p w:rsidR="00626833" w:rsidRPr="00626833" w:rsidRDefault="00626833" w:rsidP="00626833"/>
    <w:p w:rsidR="00C472A7" w:rsidRPr="005B6CE9" w:rsidRDefault="00C472A7" w:rsidP="00C472A7">
      <w:pPr>
        <w:rPr>
          <w:rFonts w:ascii="Times New Roman" w:hAnsi="Times New Roman"/>
          <w:szCs w:val="22"/>
        </w:rPr>
      </w:pPr>
      <w:r w:rsidRPr="005B6CE9">
        <w:rPr>
          <w:rFonts w:ascii="Times New Roman" w:hAnsi="Times New Roman"/>
          <w:szCs w:val="22"/>
        </w:rPr>
        <w:t xml:space="preserve">The engagement will consist of </w:t>
      </w:r>
      <w:r w:rsidR="00B83DC1" w:rsidRPr="005B6CE9">
        <w:rPr>
          <w:rFonts w:ascii="Times New Roman" w:hAnsi="Times New Roman"/>
          <w:szCs w:val="22"/>
        </w:rPr>
        <w:t>t</w:t>
      </w:r>
      <w:r w:rsidR="00B83DC1">
        <w:rPr>
          <w:rFonts w:ascii="Times New Roman" w:hAnsi="Times New Roman"/>
          <w:szCs w:val="22"/>
        </w:rPr>
        <w:t>wo</w:t>
      </w:r>
      <w:r w:rsidR="00B83DC1" w:rsidRPr="005B6CE9">
        <w:rPr>
          <w:rFonts w:ascii="Times New Roman" w:hAnsi="Times New Roman"/>
          <w:szCs w:val="22"/>
        </w:rPr>
        <w:t xml:space="preserve"> </w:t>
      </w:r>
      <w:r w:rsidRPr="005B6CE9">
        <w:rPr>
          <w:rFonts w:ascii="Times New Roman" w:hAnsi="Times New Roman"/>
          <w:szCs w:val="22"/>
        </w:rPr>
        <w:t xml:space="preserve">major parts: </w:t>
      </w:r>
    </w:p>
    <w:p w:rsidR="00C472A7" w:rsidRDefault="00C472A7" w:rsidP="00CA228B">
      <w:pPr>
        <w:jc w:val="both"/>
        <w:rPr>
          <w:rFonts w:ascii="Times New Roman" w:hAnsi="Times New Roman"/>
          <w:szCs w:val="22"/>
        </w:rPr>
      </w:pPr>
    </w:p>
    <w:p w:rsidR="00C472A7" w:rsidRPr="003565F9" w:rsidRDefault="00C472A7" w:rsidP="003565F9">
      <w:pPr>
        <w:numPr>
          <w:ilvl w:val="0"/>
          <w:numId w:val="1"/>
        </w:numPr>
        <w:ind w:left="720"/>
        <w:jc w:val="both"/>
        <w:rPr>
          <w:rFonts w:ascii="Times New Roman" w:hAnsi="Times New Roman"/>
          <w:szCs w:val="22"/>
        </w:rPr>
      </w:pPr>
      <w:r w:rsidRPr="003565F9">
        <w:rPr>
          <w:rFonts w:ascii="Times New Roman" w:hAnsi="Times New Roman"/>
          <w:szCs w:val="22"/>
        </w:rPr>
        <w:t>Collect information on</w:t>
      </w:r>
      <w:r w:rsidR="00B161D1">
        <w:rPr>
          <w:rFonts w:ascii="Times New Roman" w:hAnsi="Times New Roman"/>
          <w:szCs w:val="22"/>
        </w:rPr>
        <w:t xml:space="preserve"> commercial</w:t>
      </w:r>
      <w:r w:rsidRPr="003565F9">
        <w:rPr>
          <w:rFonts w:ascii="Times New Roman" w:hAnsi="Times New Roman"/>
          <w:szCs w:val="22"/>
        </w:rPr>
        <w:t xml:space="preserve"> availability and market trends of alternatives to PFASs with a description of what alternatives are being used in particular uses/sectors. The analysis should include:</w:t>
      </w:r>
    </w:p>
    <w:p w:rsidR="001F0BF3" w:rsidRDefault="001F0BF3" w:rsidP="001F0BF3">
      <w:pPr>
        <w:ind w:left="720"/>
        <w:jc w:val="both"/>
        <w:rPr>
          <w:rFonts w:ascii="Times New Roman" w:hAnsi="Times New Roman"/>
          <w:szCs w:val="22"/>
        </w:rPr>
      </w:pPr>
    </w:p>
    <w:p w:rsidR="00C12581" w:rsidRDefault="00C472A7" w:rsidP="00C12581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E971A5">
        <w:rPr>
          <w:rFonts w:ascii="Times New Roman" w:hAnsi="Times New Roman"/>
          <w:szCs w:val="22"/>
        </w:rPr>
        <w:t>A clear description of the alternative</w:t>
      </w:r>
      <w:r w:rsidR="00C12581">
        <w:rPr>
          <w:rFonts w:ascii="Times New Roman" w:hAnsi="Times New Roman"/>
          <w:szCs w:val="22"/>
        </w:rPr>
        <w:t>,</w:t>
      </w:r>
      <w:r w:rsidR="003A5AE7">
        <w:rPr>
          <w:rFonts w:ascii="Times New Roman" w:hAnsi="Times New Roman"/>
          <w:szCs w:val="22"/>
        </w:rPr>
        <w:t xml:space="preserve"> </w:t>
      </w:r>
      <w:r w:rsidR="00C12581">
        <w:rPr>
          <w:rFonts w:ascii="Times New Roman" w:hAnsi="Times New Roman"/>
          <w:szCs w:val="22"/>
        </w:rPr>
        <w:t>e</w:t>
      </w:r>
      <w:r w:rsidR="00C12581" w:rsidRPr="00C12581">
        <w:rPr>
          <w:rFonts w:ascii="Times New Roman" w:hAnsi="Times New Roman"/>
          <w:szCs w:val="22"/>
        </w:rPr>
        <w:t xml:space="preserve">.g. </w:t>
      </w:r>
    </w:p>
    <w:p w:rsidR="00806658" w:rsidRPr="00806658" w:rsidRDefault="00806658" w:rsidP="003A5AE7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Cs w:val="22"/>
        </w:rPr>
      </w:pPr>
      <w:r w:rsidRPr="00806658">
        <w:rPr>
          <w:rFonts w:ascii="Times New Roman" w:hAnsi="Times New Roman"/>
          <w:szCs w:val="22"/>
        </w:rPr>
        <w:t>for a chemical alternative: chemical identity (CAS number, EC number), brief summary and availability of data on phys</w:t>
      </w:r>
      <w:r w:rsidR="00AF53CC">
        <w:rPr>
          <w:rFonts w:ascii="Times New Roman" w:hAnsi="Times New Roman"/>
          <w:szCs w:val="22"/>
        </w:rPr>
        <w:t>ical</w:t>
      </w:r>
      <w:r w:rsidRPr="00806658">
        <w:rPr>
          <w:rFonts w:ascii="Times New Roman" w:hAnsi="Times New Roman"/>
          <w:szCs w:val="22"/>
        </w:rPr>
        <w:t>-chem</w:t>
      </w:r>
      <w:r w:rsidR="00AF53CC">
        <w:rPr>
          <w:rFonts w:ascii="Times New Roman" w:hAnsi="Times New Roman"/>
          <w:szCs w:val="22"/>
        </w:rPr>
        <w:t>ical</w:t>
      </w:r>
      <w:r w:rsidRPr="00806658">
        <w:rPr>
          <w:rFonts w:ascii="Times New Roman" w:hAnsi="Times New Roman"/>
          <w:szCs w:val="22"/>
        </w:rPr>
        <w:t xml:space="preserve"> properties, human health effects and </w:t>
      </w:r>
      <w:proofErr w:type="spellStart"/>
      <w:r w:rsidRPr="00806658">
        <w:rPr>
          <w:rFonts w:ascii="Times New Roman" w:hAnsi="Times New Roman"/>
          <w:szCs w:val="22"/>
        </w:rPr>
        <w:t>ecotoxic</w:t>
      </w:r>
      <w:r w:rsidR="00AF53CC">
        <w:rPr>
          <w:rFonts w:ascii="Times New Roman" w:hAnsi="Times New Roman"/>
          <w:szCs w:val="22"/>
        </w:rPr>
        <w:t>i</w:t>
      </w:r>
      <w:r w:rsidRPr="00806658">
        <w:rPr>
          <w:rFonts w:ascii="Times New Roman" w:hAnsi="Times New Roman"/>
          <w:szCs w:val="22"/>
        </w:rPr>
        <w:t>ty</w:t>
      </w:r>
      <w:proofErr w:type="spellEnd"/>
      <w:r w:rsidRPr="00806658">
        <w:rPr>
          <w:rFonts w:ascii="Times New Roman" w:hAnsi="Times New Roman"/>
          <w:szCs w:val="22"/>
        </w:rPr>
        <w:t>, exposure</w:t>
      </w:r>
      <w:r w:rsidR="006E5BF7">
        <w:rPr>
          <w:rFonts w:ascii="Times New Roman" w:hAnsi="Times New Roman"/>
          <w:szCs w:val="22"/>
        </w:rPr>
        <w:t xml:space="preserve"> potential and environmental presence</w:t>
      </w:r>
      <w:r w:rsidRPr="00806658">
        <w:rPr>
          <w:rFonts w:ascii="Times New Roman" w:hAnsi="Times New Roman"/>
          <w:szCs w:val="22"/>
        </w:rPr>
        <w:t>,</w:t>
      </w:r>
      <w:r w:rsidR="006E5BF7">
        <w:rPr>
          <w:rFonts w:ascii="Times New Roman" w:hAnsi="Times New Roman"/>
          <w:szCs w:val="22"/>
        </w:rPr>
        <w:t xml:space="preserve"> and</w:t>
      </w:r>
      <w:r w:rsidR="003A5AE7">
        <w:rPr>
          <w:rFonts w:ascii="Times New Roman" w:hAnsi="Times New Roman"/>
          <w:szCs w:val="22"/>
        </w:rPr>
        <w:t xml:space="preserve"> disposal</w:t>
      </w:r>
      <w:r w:rsidRPr="00806658">
        <w:rPr>
          <w:rFonts w:ascii="Times New Roman" w:hAnsi="Times New Roman"/>
          <w:szCs w:val="22"/>
        </w:rPr>
        <w:t xml:space="preserve">; </w:t>
      </w:r>
    </w:p>
    <w:p w:rsidR="00806658" w:rsidRDefault="00806658" w:rsidP="003A5AE7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Cs w:val="22"/>
        </w:rPr>
      </w:pPr>
      <w:r w:rsidRPr="00806658">
        <w:rPr>
          <w:rFonts w:ascii="Times New Roman" w:hAnsi="Times New Roman"/>
          <w:szCs w:val="22"/>
        </w:rPr>
        <w:t xml:space="preserve">for a </w:t>
      </w:r>
      <w:r w:rsidR="00E23B7A">
        <w:rPr>
          <w:rFonts w:ascii="Times New Roman" w:hAnsi="Times New Roman"/>
          <w:szCs w:val="22"/>
        </w:rPr>
        <w:t>non-chemical alternative</w:t>
      </w:r>
      <w:r w:rsidRPr="00806658">
        <w:rPr>
          <w:rFonts w:ascii="Times New Roman" w:hAnsi="Times New Roman"/>
          <w:szCs w:val="22"/>
        </w:rPr>
        <w:t>: de</w:t>
      </w:r>
      <w:r w:rsidR="00895CBF">
        <w:rPr>
          <w:rFonts w:ascii="Times New Roman" w:hAnsi="Times New Roman"/>
          <w:szCs w:val="22"/>
        </w:rPr>
        <w:t>s</w:t>
      </w:r>
      <w:r w:rsidRPr="00806658">
        <w:rPr>
          <w:rFonts w:ascii="Times New Roman" w:hAnsi="Times New Roman"/>
          <w:szCs w:val="22"/>
        </w:rPr>
        <w:t>cription of the process/application,;</w:t>
      </w:r>
    </w:p>
    <w:p w:rsidR="00895CBF" w:rsidRPr="00806658" w:rsidRDefault="00895CBF" w:rsidP="00806658">
      <w:pPr>
        <w:pStyle w:val="Paragrafoelenco"/>
        <w:ind w:left="2520"/>
        <w:jc w:val="both"/>
        <w:rPr>
          <w:rFonts w:ascii="Times New Roman" w:hAnsi="Times New Roman"/>
          <w:szCs w:val="22"/>
        </w:rPr>
      </w:pPr>
    </w:p>
    <w:p w:rsidR="00806658" w:rsidRDefault="00E006FC" w:rsidP="00C12581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="00806658">
        <w:rPr>
          <w:rFonts w:ascii="Times New Roman" w:hAnsi="Times New Roman"/>
          <w:szCs w:val="22"/>
        </w:rPr>
        <w:t>nformation on efficacy, including performance, benefits and any limitations</w:t>
      </w:r>
      <w:r w:rsidR="00A1612F">
        <w:rPr>
          <w:rFonts w:ascii="Times New Roman" w:hAnsi="Times New Roman"/>
          <w:szCs w:val="22"/>
        </w:rPr>
        <w:t>;</w:t>
      </w:r>
    </w:p>
    <w:p w:rsidR="00365B31" w:rsidRDefault="00365B31" w:rsidP="009F7363">
      <w:pPr>
        <w:numPr>
          <w:ilvl w:val="3"/>
          <w:numId w:val="9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provide a comparison of capital/operating costs of the substitute or</w:t>
      </w:r>
      <w:r w:rsidR="00F525DA">
        <w:rPr>
          <w:rFonts w:ascii="Times New Roman" w:hAnsi="Times New Roman"/>
          <w:szCs w:val="22"/>
        </w:rPr>
        <w:t xml:space="preserve"> non-chemical </w:t>
      </w:r>
      <w:r>
        <w:rPr>
          <w:rFonts w:ascii="Times New Roman" w:hAnsi="Times New Roman"/>
          <w:szCs w:val="22"/>
        </w:rPr>
        <w:t>alternative;</w:t>
      </w:r>
    </w:p>
    <w:p w:rsidR="00365B31" w:rsidRDefault="00365B31" w:rsidP="009F7363">
      <w:pPr>
        <w:numPr>
          <w:ilvl w:val="3"/>
          <w:numId w:val="9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estimate </w:t>
      </w:r>
      <w:r w:rsidR="006E5BF7">
        <w:rPr>
          <w:rFonts w:ascii="Times New Roman" w:hAnsi="Times New Roman"/>
          <w:szCs w:val="22"/>
        </w:rPr>
        <w:t xml:space="preserve">of </w:t>
      </w:r>
      <w:r>
        <w:rPr>
          <w:rFonts w:ascii="Times New Roman" w:hAnsi="Times New Roman"/>
          <w:szCs w:val="22"/>
        </w:rPr>
        <w:t xml:space="preserve">the additional costs (or cost savings) associated with using the substitute or </w:t>
      </w:r>
      <w:r w:rsidR="00F525DA">
        <w:rPr>
          <w:rFonts w:ascii="Times New Roman" w:hAnsi="Times New Roman"/>
          <w:szCs w:val="22"/>
        </w:rPr>
        <w:t>non-chemical</w:t>
      </w:r>
      <w:r>
        <w:rPr>
          <w:rFonts w:ascii="Times New Roman" w:hAnsi="Times New Roman"/>
          <w:szCs w:val="22"/>
        </w:rPr>
        <w:t xml:space="preserve"> alternative;</w:t>
      </w:r>
    </w:p>
    <w:p w:rsidR="006E5BF7" w:rsidRDefault="00365B31" w:rsidP="006E5BF7">
      <w:pPr>
        <w:numPr>
          <w:ilvl w:val="3"/>
          <w:numId w:val="9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provide a</w:t>
      </w:r>
      <w:r w:rsidR="006E5BF7">
        <w:rPr>
          <w:rFonts w:ascii="Times New Roman" w:hAnsi="Times New Roman"/>
          <w:szCs w:val="22"/>
        </w:rPr>
        <w:t xml:space="preserve"> summary</w:t>
      </w:r>
      <w:r>
        <w:rPr>
          <w:rFonts w:ascii="Times New Roman" w:hAnsi="Times New Roman"/>
          <w:szCs w:val="22"/>
        </w:rPr>
        <w:t xml:space="preserve"> of the relative performance (efficiency) for the identified substitute or </w:t>
      </w:r>
      <w:r w:rsidR="00F525DA">
        <w:rPr>
          <w:rFonts w:ascii="Times New Roman" w:hAnsi="Times New Roman"/>
          <w:szCs w:val="22"/>
        </w:rPr>
        <w:t>non-chemical</w:t>
      </w:r>
      <w:r>
        <w:rPr>
          <w:rFonts w:ascii="Times New Roman" w:hAnsi="Times New Roman"/>
          <w:szCs w:val="22"/>
        </w:rPr>
        <w:t>.</w:t>
      </w:r>
    </w:p>
    <w:p w:rsidR="006E5BF7" w:rsidRPr="006E5BF7" w:rsidRDefault="006E5BF7" w:rsidP="003A5AE7">
      <w:pPr>
        <w:ind w:left="180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(Note that it is recognised that cost measure might vary between countries or </w:t>
      </w:r>
      <w:r>
        <w:rPr>
          <w:rFonts w:ascii="Times New Roman" w:hAnsi="Times New Roman"/>
          <w:szCs w:val="22"/>
        </w:rPr>
        <w:tab/>
        <w:t>regions but should provide indicative information)</w:t>
      </w:r>
    </w:p>
    <w:p w:rsidR="001F0BF3" w:rsidRDefault="001F0BF3" w:rsidP="006B0F60">
      <w:pPr>
        <w:jc w:val="both"/>
        <w:rPr>
          <w:rFonts w:ascii="Times New Roman" w:hAnsi="Times New Roman"/>
          <w:szCs w:val="22"/>
        </w:rPr>
      </w:pPr>
    </w:p>
    <w:p w:rsidR="00C472A7" w:rsidRDefault="00C472A7" w:rsidP="00C472A7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information on the actual uptake/market penetration of the alternative</w:t>
      </w:r>
      <w:r w:rsidR="001F6C8E">
        <w:rPr>
          <w:rFonts w:ascii="Times New Roman" w:hAnsi="Times New Roman"/>
          <w:szCs w:val="22"/>
        </w:rPr>
        <w:t xml:space="preserve"> and reason</w:t>
      </w:r>
      <w:r w:rsidR="007963C5">
        <w:rPr>
          <w:rFonts w:ascii="Times New Roman" w:hAnsi="Times New Roman"/>
          <w:szCs w:val="22"/>
        </w:rPr>
        <w:t>s</w:t>
      </w:r>
      <w:r w:rsidR="001F6C8E">
        <w:rPr>
          <w:rFonts w:ascii="Times New Roman" w:hAnsi="Times New Roman"/>
          <w:szCs w:val="22"/>
        </w:rPr>
        <w:t xml:space="preserve"> for the level of uptake</w:t>
      </w:r>
      <w:r>
        <w:rPr>
          <w:rFonts w:ascii="Times New Roman" w:hAnsi="Times New Roman"/>
          <w:szCs w:val="22"/>
        </w:rPr>
        <w:t>;</w:t>
      </w:r>
    </w:p>
    <w:p w:rsidR="00365B31" w:rsidRDefault="00F525DA" w:rsidP="00365B31">
      <w:pPr>
        <w:numPr>
          <w:ilvl w:val="3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indication of</w:t>
      </w:r>
      <w:r w:rsidR="00365B31">
        <w:rPr>
          <w:rFonts w:ascii="Times New Roman" w:hAnsi="Times New Roman"/>
          <w:szCs w:val="22"/>
        </w:rPr>
        <w:t xml:space="preserve"> the anticipated time frame for the substitute/ </w:t>
      </w:r>
      <w:r>
        <w:rPr>
          <w:rFonts w:ascii="Times New Roman" w:hAnsi="Times New Roman"/>
          <w:szCs w:val="22"/>
        </w:rPr>
        <w:t xml:space="preserve">non-chemical </w:t>
      </w:r>
      <w:r w:rsidR="00365B31">
        <w:rPr>
          <w:rFonts w:ascii="Times New Roman" w:hAnsi="Times New Roman"/>
          <w:szCs w:val="22"/>
        </w:rPr>
        <w:t>alternative to completely eliminate the use of PFASs;</w:t>
      </w:r>
    </w:p>
    <w:p w:rsidR="00A870C6" w:rsidRDefault="00A870C6" w:rsidP="00A870C6">
      <w:pPr>
        <w:numPr>
          <w:ilvl w:val="3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whether </w:t>
      </w:r>
      <w:r w:rsidRPr="00A870C6">
        <w:rPr>
          <w:rFonts w:ascii="Times New Roman" w:hAnsi="Times New Roman"/>
          <w:szCs w:val="22"/>
        </w:rPr>
        <w:t>the a</w:t>
      </w:r>
      <w:r>
        <w:rPr>
          <w:rFonts w:ascii="Times New Roman" w:hAnsi="Times New Roman"/>
          <w:szCs w:val="22"/>
        </w:rPr>
        <w:t xml:space="preserve">lternative has received regulatory approval </w:t>
      </w:r>
      <w:r w:rsidRPr="00A870C6">
        <w:rPr>
          <w:rFonts w:ascii="Times New Roman" w:hAnsi="Times New Roman"/>
          <w:szCs w:val="22"/>
        </w:rPr>
        <w:t>by relevant authorities for a specific use</w:t>
      </w:r>
      <w:r>
        <w:rPr>
          <w:rFonts w:ascii="Times New Roman" w:hAnsi="Times New Roman"/>
          <w:szCs w:val="22"/>
        </w:rPr>
        <w:t xml:space="preserve"> </w:t>
      </w:r>
    </w:p>
    <w:p w:rsidR="00A870C6" w:rsidRDefault="00A870C6" w:rsidP="00A870C6">
      <w:pPr>
        <w:numPr>
          <w:ilvl w:val="3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whether the development of the alternative has been driven by market or regulatory pressure</w:t>
      </w:r>
    </w:p>
    <w:p w:rsidR="00365B31" w:rsidRDefault="00365B31" w:rsidP="00365B31">
      <w:pPr>
        <w:numPr>
          <w:ilvl w:val="3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provide the information by geographical market and by use type.</w:t>
      </w:r>
    </w:p>
    <w:p w:rsidR="001F0BF3" w:rsidRDefault="001F0BF3" w:rsidP="001F0BF3">
      <w:pPr>
        <w:ind w:left="1800"/>
        <w:jc w:val="both"/>
        <w:rPr>
          <w:rFonts w:ascii="Times New Roman" w:hAnsi="Times New Roman"/>
          <w:szCs w:val="22"/>
        </w:rPr>
      </w:pPr>
    </w:p>
    <w:p w:rsidR="00365B31" w:rsidRDefault="00C472A7" w:rsidP="00C472A7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challenges in substitution by sector or for particular uses of PFASs</w:t>
      </w:r>
      <w:r w:rsidR="000F0B6A">
        <w:rPr>
          <w:rFonts w:ascii="Times New Roman" w:hAnsi="Times New Roman"/>
          <w:szCs w:val="22"/>
        </w:rPr>
        <w:t xml:space="preserve"> </w:t>
      </w:r>
    </w:p>
    <w:p w:rsidR="00C472A7" w:rsidRDefault="000F0B6A" w:rsidP="00365B31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Cs w:val="22"/>
        </w:rPr>
      </w:pPr>
      <w:r w:rsidRPr="00365B31">
        <w:rPr>
          <w:rFonts w:ascii="Times New Roman" w:hAnsi="Times New Roman"/>
          <w:szCs w:val="22"/>
        </w:rPr>
        <w:t xml:space="preserve">cost and time needed to </w:t>
      </w:r>
      <w:r w:rsidR="00B07344" w:rsidRPr="00365B31">
        <w:rPr>
          <w:rFonts w:ascii="Times New Roman" w:hAnsi="Times New Roman"/>
          <w:szCs w:val="22"/>
        </w:rPr>
        <w:t>qualify</w:t>
      </w:r>
      <w:r w:rsidRPr="00365B31">
        <w:rPr>
          <w:rFonts w:ascii="Times New Roman" w:hAnsi="Times New Roman"/>
          <w:szCs w:val="22"/>
        </w:rPr>
        <w:t xml:space="preserve"> an alternative</w:t>
      </w:r>
      <w:r w:rsidR="00C472A7" w:rsidRPr="00365B31">
        <w:rPr>
          <w:rFonts w:ascii="Times New Roman" w:hAnsi="Times New Roman"/>
          <w:szCs w:val="22"/>
        </w:rPr>
        <w:t>;</w:t>
      </w:r>
    </w:p>
    <w:p w:rsidR="00A3004E" w:rsidRPr="003A5AE7" w:rsidRDefault="00A870C6" w:rsidP="003A5AE7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functionality</w:t>
      </w:r>
    </w:p>
    <w:p w:rsidR="00CC5201" w:rsidRDefault="00CC5201" w:rsidP="00CC5201">
      <w:pPr>
        <w:ind w:left="720"/>
        <w:jc w:val="both"/>
        <w:rPr>
          <w:rFonts w:ascii="Times New Roman" w:hAnsi="Times New Roman"/>
          <w:szCs w:val="22"/>
        </w:rPr>
      </w:pPr>
    </w:p>
    <w:p w:rsidR="00365B31" w:rsidRDefault="00C472A7" w:rsidP="00C472A7">
      <w:pPr>
        <w:numPr>
          <w:ilvl w:val="0"/>
          <w:numId w:val="1"/>
        </w:numPr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Based on the precedent chapters, provide</w:t>
      </w:r>
    </w:p>
    <w:p w:rsidR="006106A4" w:rsidRDefault="00C472A7" w:rsidP="006106A4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a summary on the status of a shift to alternatives, </w:t>
      </w:r>
    </w:p>
    <w:p w:rsidR="006106A4" w:rsidRDefault="00C472A7" w:rsidP="006106A4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Pr="006106A4">
        <w:rPr>
          <w:rFonts w:ascii="Times New Roman" w:hAnsi="Times New Roman"/>
          <w:szCs w:val="22"/>
        </w:rPr>
        <w:t>he sustainability of those shifts</w:t>
      </w:r>
      <w:r w:rsidR="006106A4">
        <w:rPr>
          <w:rFonts w:ascii="Times New Roman" w:hAnsi="Times New Roman"/>
          <w:szCs w:val="22"/>
        </w:rPr>
        <w:t>;</w:t>
      </w:r>
      <w:r w:rsidR="00A870C6">
        <w:rPr>
          <w:rFonts w:ascii="Times New Roman" w:hAnsi="Times New Roman"/>
          <w:szCs w:val="22"/>
        </w:rPr>
        <w:t xml:space="preserve"> and</w:t>
      </w:r>
    </w:p>
    <w:p w:rsidR="00F014A7" w:rsidRDefault="00C472A7" w:rsidP="006106A4">
      <w:pPr>
        <w:numPr>
          <w:ilvl w:val="2"/>
          <w:numId w:val="1"/>
        </w:numPr>
        <w:jc w:val="both"/>
        <w:rPr>
          <w:rFonts w:ascii="Times New Roman" w:hAnsi="Times New Roman"/>
          <w:szCs w:val="22"/>
        </w:rPr>
      </w:pPr>
      <w:r w:rsidRPr="006106A4">
        <w:rPr>
          <w:rFonts w:ascii="Times New Roman" w:hAnsi="Times New Roman"/>
          <w:szCs w:val="22"/>
        </w:rPr>
        <w:t>how policy could help encourage the development of sustainable alternatives to PFASs</w:t>
      </w:r>
      <w:r w:rsidR="006106A4">
        <w:rPr>
          <w:rFonts w:ascii="Times New Roman" w:hAnsi="Times New Roman"/>
          <w:szCs w:val="22"/>
        </w:rPr>
        <w:t>:</w:t>
      </w:r>
    </w:p>
    <w:p w:rsidR="006106A4" w:rsidRDefault="006106A4" w:rsidP="006106A4">
      <w:pPr>
        <w:numPr>
          <w:ilvl w:val="3"/>
          <w:numId w:val="14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policy by international body (for example, potential certification for fire-fighting foams in civil aviation sector);</w:t>
      </w:r>
    </w:p>
    <w:p w:rsidR="006106A4" w:rsidRDefault="006106A4" w:rsidP="006106A4">
      <w:pPr>
        <w:numPr>
          <w:ilvl w:val="3"/>
          <w:numId w:val="14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policy taken by industr</w:t>
      </w:r>
      <w:r w:rsidR="00A870C6">
        <w:rPr>
          <w:rFonts w:ascii="Times New Roman" w:hAnsi="Times New Roman"/>
          <w:szCs w:val="22"/>
        </w:rPr>
        <w:t>y</w:t>
      </w:r>
      <w:r>
        <w:rPr>
          <w:rFonts w:ascii="Times New Roman" w:hAnsi="Times New Roman"/>
          <w:szCs w:val="22"/>
        </w:rPr>
        <w:t xml:space="preserve"> associations to phase out some PFASs (for example, semiconductor sector); </w:t>
      </w:r>
    </w:p>
    <w:p w:rsidR="006106A4" w:rsidRDefault="006106A4" w:rsidP="006106A4">
      <w:pPr>
        <w:numPr>
          <w:ilvl w:val="3"/>
          <w:numId w:val="14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policy taken by specific industry sector to research alternative substances (for example outdoor textiles). </w:t>
      </w:r>
    </w:p>
    <w:p w:rsidR="00C472A7" w:rsidRDefault="00C472A7" w:rsidP="00CC5201">
      <w:pPr>
        <w:jc w:val="both"/>
        <w:rPr>
          <w:rFonts w:ascii="Times New Roman" w:hAnsi="Times New Roman"/>
          <w:szCs w:val="22"/>
        </w:rPr>
      </w:pPr>
    </w:p>
    <w:p w:rsidR="00C472A7" w:rsidRPr="00E577E2" w:rsidRDefault="00C472A7" w:rsidP="00C472A7">
      <w:pPr>
        <w:ind w:left="360"/>
        <w:jc w:val="both"/>
        <w:rPr>
          <w:rFonts w:ascii="Times New Roman" w:hAnsi="Times New Roman"/>
          <w:szCs w:val="22"/>
        </w:rPr>
      </w:pPr>
    </w:p>
    <w:p w:rsidR="000D4726" w:rsidRPr="00385386" w:rsidRDefault="00C00A0C" w:rsidP="00C472A7">
      <w:pPr>
        <w:jc w:val="both"/>
        <w:rPr>
          <w:rFonts w:ascii="Times New Roman" w:hAnsi="Times New Roman"/>
          <w:i/>
          <w:szCs w:val="22"/>
        </w:rPr>
      </w:pPr>
      <w:r w:rsidRPr="00385386">
        <w:rPr>
          <w:rFonts w:ascii="Times New Roman" w:hAnsi="Times New Roman"/>
          <w:i/>
          <w:szCs w:val="22"/>
        </w:rPr>
        <w:t xml:space="preserve">Alternatives will cover: </w:t>
      </w:r>
    </w:p>
    <w:p w:rsidR="00075119" w:rsidRPr="00385386" w:rsidRDefault="00075119" w:rsidP="00C472A7">
      <w:pPr>
        <w:jc w:val="both"/>
        <w:rPr>
          <w:rFonts w:ascii="Times New Roman" w:hAnsi="Times New Roman"/>
          <w:i/>
          <w:szCs w:val="22"/>
        </w:rPr>
      </w:pPr>
    </w:p>
    <w:p w:rsidR="00B161D1" w:rsidRPr="00385386" w:rsidRDefault="00A870C6" w:rsidP="00925565">
      <w:pPr>
        <w:jc w:val="both"/>
        <w:rPr>
          <w:rFonts w:ascii="Times New Roman" w:hAnsi="Times New Roman"/>
          <w:i/>
          <w:szCs w:val="22"/>
        </w:rPr>
      </w:pPr>
      <w:r w:rsidRPr="00385386">
        <w:rPr>
          <w:rFonts w:ascii="Times New Roman" w:hAnsi="Times New Roman"/>
          <w:i/>
          <w:szCs w:val="22"/>
        </w:rPr>
        <w:t>Non-fluorinated c</w:t>
      </w:r>
      <w:r w:rsidR="00C00A0C" w:rsidRPr="00385386">
        <w:rPr>
          <w:rFonts w:ascii="Times New Roman" w:hAnsi="Times New Roman"/>
          <w:i/>
          <w:szCs w:val="22"/>
        </w:rPr>
        <w:t>hemical alternatives</w:t>
      </w:r>
      <w:r w:rsidR="00A3004E" w:rsidRPr="00385386">
        <w:rPr>
          <w:rFonts w:ascii="Times New Roman" w:hAnsi="Times New Roman"/>
          <w:i/>
          <w:szCs w:val="22"/>
        </w:rPr>
        <w:t xml:space="preserve"> </w:t>
      </w:r>
      <w:r w:rsidR="00B60CA1" w:rsidRPr="00385386">
        <w:rPr>
          <w:rFonts w:ascii="Times New Roman" w:hAnsi="Times New Roman"/>
          <w:i/>
          <w:szCs w:val="22"/>
        </w:rPr>
        <w:t>and</w:t>
      </w:r>
      <w:r w:rsidR="00C00A0C" w:rsidRPr="00385386">
        <w:rPr>
          <w:rFonts w:ascii="Times New Roman" w:hAnsi="Times New Roman"/>
          <w:i/>
          <w:szCs w:val="22"/>
        </w:rPr>
        <w:t xml:space="preserve"> </w:t>
      </w:r>
      <w:r w:rsidR="00FC0682" w:rsidRPr="00385386">
        <w:rPr>
          <w:rFonts w:ascii="Times New Roman" w:hAnsi="Times New Roman"/>
          <w:i/>
          <w:szCs w:val="22"/>
        </w:rPr>
        <w:t xml:space="preserve">short chain </w:t>
      </w:r>
      <w:r w:rsidR="00C00A0C" w:rsidRPr="00385386">
        <w:rPr>
          <w:rFonts w:ascii="Times New Roman" w:hAnsi="Times New Roman"/>
          <w:i/>
          <w:szCs w:val="22"/>
        </w:rPr>
        <w:t>PFASs being used as replacement in order to</w:t>
      </w:r>
      <w:r w:rsidR="000D4726" w:rsidRPr="00385386">
        <w:rPr>
          <w:rFonts w:ascii="Times New Roman" w:hAnsi="Times New Roman"/>
          <w:i/>
          <w:szCs w:val="22"/>
        </w:rPr>
        <w:t xml:space="preserve"> better</w:t>
      </w:r>
      <w:r w:rsidR="00C00A0C" w:rsidRPr="00385386">
        <w:rPr>
          <w:rFonts w:ascii="Times New Roman" w:hAnsi="Times New Roman"/>
          <w:i/>
          <w:szCs w:val="22"/>
        </w:rPr>
        <w:t xml:space="preserve"> understand </w:t>
      </w:r>
      <w:r w:rsidR="000D4726" w:rsidRPr="00385386">
        <w:rPr>
          <w:rFonts w:ascii="Times New Roman" w:hAnsi="Times New Roman"/>
          <w:i/>
          <w:szCs w:val="22"/>
        </w:rPr>
        <w:t>the continued use</w:t>
      </w:r>
      <w:r w:rsidR="00C00A0C" w:rsidRPr="00385386">
        <w:rPr>
          <w:rFonts w:ascii="Times New Roman" w:hAnsi="Times New Roman"/>
          <w:i/>
          <w:szCs w:val="22"/>
        </w:rPr>
        <w:t xml:space="preserve"> of fluorinated substances</w:t>
      </w:r>
      <w:r w:rsidR="00CA228B" w:rsidRPr="00385386">
        <w:rPr>
          <w:rFonts w:ascii="Times New Roman" w:hAnsi="Times New Roman"/>
          <w:i/>
          <w:szCs w:val="22"/>
        </w:rPr>
        <w:t>;</w:t>
      </w:r>
    </w:p>
    <w:p w:rsidR="00CA228B" w:rsidRPr="00385386" w:rsidRDefault="00CA228B" w:rsidP="00CA228B">
      <w:pPr>
        <w:pStyle w:val="Paragrafoelenco"/>
        <w:jc w:val="both"/>
        <w:rPr>
          <w:rFonts w:ascii="Times New Roman" w:hAnsi="Times New Roman"/>
          <w:i/>
          <w:szCs w:val="22"/>
        </w:rPr>
      </w:pPr>
    </w:p>
    <w:p w:rsidR="00C00A0C" w:rsidRPr="00385386" w:rsidRDefault="000D4726" w:rsidP="003A5AE7">
      <w:pPr>
        <w:jc w:val="both"/>
        <w:rPr>
          <w:rFonts w:ascii="Times New Roman" w:hAnsi="Times New Roman"/>
          <w:i/>
          <w:szCs w:val="22"/>
        </w:rPr>
      </w:pPr>
      <w:r w:rsidRPr="00385386">
        <w:rPr>
          <w:rFonts w:ascii="Times New Roman" w:hAnsi="Times New Roman"/>
          <w:i/>
          <w:szCs w:val="22"/>
        </w:rPr>
        <w:t>N</w:t>
      </w:r>
      <w:r w:rsidR="00C00A0C" w:rsidRPr="00385386">
        <w:rPr>
          <w:rFonts w:ascii="Times New Roman" w:hAnsi="Times New Roman"/>
          <w:i/>
          <w:szCs w:val="22"/>
        </w:rPr>
        <w:t>on-chemical alternative</w:t>
      </w:r>
      <w:r w:rsidR="00C42AB1" w:rsidRPr="00385386">
        <w:rPr>
          <w:rFonts w:ascii="Times New Roman" w:hAnsi="Times New Roman"/>
          <w:i/>
          <w:szCs w:val="22"/>
        </w:rPr>
        <w:t>s</w:t>
      </w:r>
      <w:r w:rsidR="00925565" w:rsidRPr="00385386">
        <w:rPr>
          <w:rFonts w:ascii="Times New Roman" w:hAnsi="Times New Roman"/>
          <w:i/>
          <w:szCs w:val="22"/>
        </w:rPr>
        <w:t>, including technical alternatives</w:t>
      </w:r>
      <w:r w:rsidR="001A3606" w:rsidRPr="00385386">
        <w:rPr>
          <w:rFonts w:ascii="Times New Roman" w:hAnsi="Times New Roman"/>
          <w:i/>
          <w:szCs w:val="22"/>
        </w:rPr>
        <w:t>.</w:t>
      </w:r>
      <w:r w:rsidR="00C00A0C" w:rsidRPr="00385386">
        <w:rPr>
          <w:rFonts w:ascii="Times New Roman" w:hAnsi="Times New Roman"/>
          <w:i/>
          <w:szCs w:val="22"/>
        </w:rPr>
        <w:t xml:space="preserve"> </w:t>
      </w:r>
    </w:p>
    <w:p w:rsidR="00C00A0C" w:rsidRDefault="00C00A0C" w:rsidP="00C472A7">
      <w:pPr>
        <w:jc w:val="both"/>
        <w:rPr>
          <w:rFonts w:ascii="Times New Roman" w:hAnsi="Times New Roman"/>
          <w:szCs w:val="22"/>
        </w:rPr>
      </w:pPr>
    </w:p>
    <w:p w:rsidR="0004494E" w:rsidRDefault="00C472A7" w:rsidP="00C472A7">
      <w:pPr>
        <w:jc w:val="both"/>
        <w:rPr>
          <w:rFonts w:ascii="Times New Roman" w:hAnsi="Times New Roman"/>
          <w:szCs w:val="22"/>
        </w:rPr>
      </w:pPr>
      <w:r w:rsidRPr="00E577E2">
        <w:rPr>
          <w:rFonts w:ascii="Times New Roman" w:hAnsi="Times New Roman"/>
          <w:szCs w:val="22"/>
        </w:rPr>
        <w:t>The report should s</w:t>
      </w:r>
      <w:r w:rsidR="00075119">
        <w:rPr>
          <w:rFonts w:ascii="Times New Roman" w:hAnsi="Times New Roman"/>
          <w:szCs w:val="22"/>
        </w:rPr>
        <w:t>tart with an executive summary.</w:t>
      </w:r>
    </w:p>
    <w:p w:rsidR="00CD6C5E" w:rsidRDefault="00CD6C5E">
      <w:pPr>
        <w:tabs>
          <w:tab w:val="clear" w:pos="851"/>
          <w:tab w:val="clear" w:pos="1191"/>
          <w:tab w:val="clear" w:pos="153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04494E" w:rsidRPr="00CD6C5E" w:rsidRDefault="0004494E" w:rsidP="00CD6C5E">
      <w:pPr>
        <w:pStyle w:val="Titolo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ab/>
      </w:r>
      <w:r>
        <w:t xml:space="preserve">Annex: </w:t>
      </w:r>
      <w:r w:rsidR="005E6612">
        <w:t xml:space="preserve">Identified </w:t>
      </w:r>
      <w:r>
        <w:t>Sectors of interest</w:t>
      </w:r>
    </w:p>
    <w:p w:rsidR="0004494E" w:rsidRDefault="0004494E" w:rsidP="0004494E">
      <w:pPr>
        <w:numPr>
          <w:ilvl w:val="0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Alternative surfactants</w:t>
      </w:r>
    </w:p>
    <w:p w:rsidR="0004494E" w:rsidRDefault="0004494E" w:rsidP="0004494E">
      <w:pPr>
        <w:numPr>
          <w:ilvl w:val="0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 xml:space="preserve">Alternative repellents for textiles (clothing, upholstered furniture, furnishings, carpets, etc.) </w:t>
      </w:r>
    </w:p>
    <w:p w:rsidR="0004494E" w:rsidRDefault="0004494E" w:rsidP="0004494E">
      <w:pPr>
        <w:numPr>
          <w:ilvl w:val="1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Water-repellents / waterproofing agents</w:t>
      </w:r>
    </w:p>
    <w:p w:rsidR="0004494E" w:rsidRDefault="0004494E" w:rsidP="0004494E">
      <w:pPr>
        <w:numPr>
          <w:ilvl w:val="1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Acid stain repellents</w:t>
      </w:r>
    </w:p>
    <w:p w:rsidR="0004494E" w:rsidRDefault="0004494E" w:rsidP="0004494E">
      <w:pPr>
        <w:numPr>
          <w:ilvl w:val="1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Oil-based stain repellents</w:t>
      </w:r>
    </w:p>
    <w:p w:rsidR="0004494E" w:rsidRDefault="0004494E" w:rsidP="0004494E">
      <w:pPr>
        <w:numPr>
          <w:ilvl w:val="1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Soil repellents / soil release agents</w:t>
      </w:r>
    </w:p>
    <w:p w:rsidR="0004494E" w:rsidRDefault="0004494E" w:rsidP="0004494E">
      <w:pPr>
        <w:numPr>
          <w:ilvl w:val="0"/>
          <w:numId w:val="4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 xml:space="preserve">Alternative impregnation agents, spot removers, stain-resistant or cleaning sprays for textiles </w:t>
      </w:r>
    </w:p>
    <w:p w:rsidR="0004494E" w:rsidRDefault="0004494E" w:rsidP="0004494E">
      <w:pPr>
        <w:numPr>
          <w:ilvl w:val="1"/>
          <w:numId w:val="5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Waterproofing</w:t>
      </w:r>
    </w:p>
    <w:p w:rsidR="0004494E" w:rsidRDefault="0004494E" w:rsidP="0004494E">
      <w:pPr>
        <w:numPr>
          <w:ilvl w:val="1"/>
          <w:numId w:val="5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Acid stain repellents</w:t>
      </w:r>
    </w:p>
    <w:p w:rsidR="0004494E" w:rsidRDefault="0004494E" w:rsidP="0004494E">
      <w:pPr>
        <w:numPr>
          <w:ilvl w:val="1"/>
          <w:numId w:val="5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Oil-based stain repellents</w:t>
      </w:r>
    </w:p>
    <w:p w:rsidR="0004494E" w:rsidRDefault="0004494E" w:rsidP="0004494E">
      <w:pPr>
        <w:numPr>
          <w:ilvl w:val="1"/>
          <w:numId w:val="5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Soil repellents / soil release agents</w:t>
      </w:r>
    </w:p>
    <w:p w:rsidR="0004494E" w:rsidRDefault="0004494E" w:rsidP="0004494E">
      <w:pPr>
        <w:numPr>
          <w:ilvl w:val="1"/>
          <w:numId w:val="5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Spot removers</w:t>
      </w:r>
    </w:p>
    <w:p w:rsidR="0004494E" w:rsidRDefault="0004494E" w:rsidP="0004494E">
      <w:pPr>
        <w:numPr>
          <w:ilvl w:val="0"/>
          <w:numId w:val="5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 xml:space="preserve">Alternative coatings for food contact packaging </w:t>
      </w:r>
    </w:p>
    <w:p w:rsidR="0004494E" w:rsidRDefault="0004494E" w:rsidP="0004494E">
      <w:pPr>
        <w:numPr>
          <w:ilvl w:val="1"/>
          <w:numId w:val="6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Waterproof coatings</w:t>
      </w:r>
    </w:p>
    <w:p w:rsidR="0004494E" w:rsidRDefault="0004494E" w:rsidP="0004494E">
      <w:pPr>
        <w:numPr>
          <w:ilvl w:val="1"/>
          <w:numId w:val="6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Grease-proof coatings</w:t>
      </w:r>
    </w:p>
    <w:p w:rsidR="0004494E" w:rsidRDefault="0004494E" w:rsidP="0004494E">
      <w:pPr>
        <w:numPr>
          <w:ilvl w:val="0"/>
          <w:numId w:val="6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 xml:space="preserve">Alternative cosmetics / personal care product ingredients 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Adsorbent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Anticaking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Antistatic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Binding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Bulking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Cleansing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Detangling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Emollient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Emulsifying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Emulsion stabilizing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Film forming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Hair conditioning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Skin conditioning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Solvent</w:t>
      </w:r>
    </w:p>
    <w:p w:rsidR="0004494E" w:rsidRDefault="0004494E" w:rsidP="0004494E">
      <w:pPr>
        <w:numPr>
          <w:ilvl w:val="1"/>
          <w:numId w:val="7"/>
        </w:numPr>
        <w:tabs>
          <w:tab w:val="clear" w:pos="851"/>
          <w:tab w:val="clear" w:pos="1191"/>
          <w:tab w:val="clear" w:pos="1531"/>
        </w:tabs>
        <w:autoSpaceDE w:val="0"/>
        <w:autoSpaceDN w:val="0"/>
        <w:rPr>
          <w:lang w:val="en-US"/>
        </w:rPr>
      </w:pPr>
      <w:r>
        <w:rPr>
          <w:lang w:val="en-US"/>
        </w:rPr>
        <w:t>Surfactant</w:t>
      </w:r>
    </w:p>
    <w:p w:rsidR="0004494E" w:rsidRDefault="0004494E" w:rsidP="0004494E">
      <w:pPr>
        <w:numPr>
          <w:ilvl w:val="0"/>
          <w:numId w:val="7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Alternative firefighting foams</w:t>
      </w:r>
    </w:p>
    <w:p w:rsidR="0004494E" w:rsidRDefault="0004494E" w:rsidP="0004494E">
      <w:pPr>
        <w:numPr>
          <w:ilvl w:val="0"/>
          <w:numId w:val="7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lang w:val="en-US"/>
        </w:rPr>
        <w:t>Semiconductors</w:t>
      </w:r>
    </w:p>
    <w:p w:rsidR="00923D21" w:rsidRPr="00923D21" w:rsidRDefault="00923D21" w:rsidP="0004494E">
      <w:pPr>
        <w:numPr>
          <w:ilvl w:val="0"/>
          <w:numId w:val="7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rFonts w:ascii="Times New Roman" w:hAnsi="Times New Roman"/>
          <w:szCs w:val="22"/>
        </w:rPr>
        <w:t>Galvano industry</w:t>
      </w:r>
    </w:p>
    <w:p w:rsidR="00923D21" w:rsidRDefault="00923D21" w:rsidP="0004494E">
      <w:pPr>
        <w:numPr>
          <w:ilvl w:val="0"/>
          <w:numId w:val="7"/>
        </w:numPr>
        <w:tabs>
          <w:tab w:val="clear" w:pos="851"/>
          <w:tab w:val="clear" w:pos="1191"/>
          <w:tab w:val="clear" w:pos="1531"/>
        </w:tabs>
        <w:rPr>
          <w:lang w:val="en-US"/>
        </w:rPr>
      </w:pPr>
      <w:r>
        <w:rPr>
          <w:rFonts w:ascii="Times New Roman" w:hAnsi="Times New Roman"/>
          <w:szCs w:val="22"/>
        </w:rPr>
        <w:t>Mist suppressant agent in chromium plating</w:t>
      </w:r>
    </w:p>
    <w:p w:rsidR="0004494E" w:rsidRPr="0004494E" w:rsidRDefault="0004494E" w:rsidP="00CD6C5E">
      <w:pPr>
        <w:tabs>
          <w:tab w:val="clear" w:pos="851"/>
          <w:tab w:val="clear" w:pos="1191"/>
          <w:tab w:val="clear" w:pos="1531"/>
          <w:tab w:val="left" w:pos="2784"/>
        </w:tabs>
        <w:rPr>
          <w:rFonts w:ascii="Times New Roman" w:hAnsi="Times New Roman"/>
          <w:szCs w:val="22"/>
        </w:rPr>
      </w:pPr>
    </w:p>
    <w:sectPr w:rsidR="0004494E" w:rsidRPr="0004494E" w:rsidSect="00FD2F6E">
      <w:footerReference w:type="default" r:id="rId7"/>
      <w:pgSz w:w="11907" w:h="16840" w:code="9"/>
      <w:pgMar w:top="1985" w:right="1247" w:bottom="1814" w:left="1191" w:header="1247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C3" w:rsidRDefault="00E722C3">
      <w:r>
        <w:separator/>
      </w:r>
    </w:p>
  </w:endnote>
  <w:endnote w:type="continuationSeparator" w:id="0">
    <w:p w:rsidR="00E722C3" w:rsidRDefault="00E7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3547"/>
      <w:docPartObj>
        <w:docPartGallery w:val="Page Numbers (Bottom of Page)"/>
        <w:docPartUnique/>
      </w:docPartObj>
    </w:sdtPr>
    <w:sdtContent>
      <w:p w:rsidR="00DA24E6" w:rsidRDefault="000A06E1">
        <w:pPr>
          <w:pStyle w:val="Pidipagina"/>
          <w:jc w:val="center"/>
        </w:pPr>
        <w:r>
          <w:fldChar w:fldCharType="begin"/>
        </w:r>
        <w:r w:rsidR="00DA24E6">
          <w:instrText xml:space="preserve"> PAGE   \* MERGEFORMAT </w:instrText>
        </w:r>
        <w:r>
          <w:fldChar w:fldCharType="separate"/>
        </w:r>
        <w:r w:rsidR="00F64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24E6" w:rsidRDefault="00DA24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C3" w:rsidRDefault="00E722C3">
      <w:r>
        <w:separator/>
      </w:r>
    </w:p>
  </w:footnote>
  <w:footnote w:type="continuationSeparator" w:id="0">
    <w:p w:rsidR="00E722C3" w:rsidRDefault="00E72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DC"/>
    <w:multiLevelType w:val="hybridMultilevel"/>
    <w:tmpl w:val="9F5AB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C6992"/>
    <w:multiLevelType w:val="hybridMultilevel"/>
    <w:tmpl w:val="99E68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D9A"/>
    <w:multiLevelType w:val="hybridMultilevel"/>
    <w:tmpl w:val="91E21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6179B"/>
    <w:multiLevelType w:val="hybridMultilevel"/>
    <w:tmpl w:val="B434A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83DA1"/>
    <w:multiLevelType w:val="hybridMultilevel"/>
    <w:tmpl w:val="EE2C93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C63050"/>
    <w:multiLevelType w:val="multilevel"/>
    <w:tmpl w:val="38CA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35E3C"/>
    <w:multiLevelType w:val="hybridMultilevel"/>
    <w:tmpl w:val="EF24EA8E"/>
    <w:lvl w:ilvl="0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10218C1"/>
    <w:multiLevelType w:val="hybridMultilevel"/>
    <w:tmpl w:val="80DCE060"/>
    <w:lvl w:ilvl="0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86B6AB1"/>
    <w:multiLevelType w:val="hybridMultilevel"/>
    <w:tmpl w:val="C79C5E28"/>
    <w:lvl w:ilvl="0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99A5788"/>
    <w:multiLevelType w:val="hybridMultilevel"/>
    <w:tmpl w:val="9962B7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B45"/>
    <w:rsid w:val="000154AA"/>
    <w:rsid w:val="00034E8C"/>
    <w:rsid w:val="00034F1B"/>
    <w:rsid w:val="0004494E"/>
    <w:rsid w:val="00075119"/>
    <w:rsid w:val="000A06E1"/>
    <w:rsid w:val="000B61CA"/>
    <w:rsid w:val="000D4726"/>
    <w:rsid w:val="000D4A63"/>
    <w:rsid w:val="000E0E6D"/>
    <w:rsid w:val="000F0B6A"/>
    <w:rsid w:val="0010351F"/>
    <w:rsid w:val="001125D9"/>
    <w:rsid w:val="00160F6B"/>
    <w:rsid w:val="001A3606"/>
    <w:rsid w:val="001B71DE"/>
    <w:rsid w:val="001F0BF3"/>
    <w:rsid w:val="001F6C8E"/>
    <w:rsid w:val="002274C5"/>
    <w:rsid w:val="0029646F"/>
    <w:rsid w:val="002B0250"/>
    <w:rsid w:val="002B3DDE"/>
    <w:rsid w:val="002D2446"/>
    <w:rsid w:val="002E547F"/>
    <w:rsid w:val="003510D6"/>
    <w:rsid w:val="003565F9"/>
    <w:rsid w:val="00365B31"/>
    <w:rsid w:val="00385386"/>
    <w:rsid w:val="003978FB"/>
    <w:rsid w:val="003A5AE7"/>
    <w:rsid w:val="003B0F4B"/>
    <w:rsid w:val="003E5468"/>
    <w:rsid w:val="003E65FF"/>
    <w:rsid w:val="00411BC0"/>
    <w:rsid w:val="00461FF8"/>
    <w:rsid w:val="004635A1"/>
    <w:rsid w:val="00463667"/>
    <w:rsid w:val="004809CE"/>
    <w:rsid w:val="00484B45"/>
    <w:rsid w:val="00485714"/>
    <w:rsid w:val="004A7ADE"/>
    <w:rsid w:val="004C6C32"/>
    <w:rsid w:val="004E39B1"/>
    <w:rsid w:val="004F7370"/>
    <w:rsid w:val="005014D3"/>
    <w:rsid w:val="00501BC3"/>
    <w:rsid w:val="00567E91"/>
    <w:rsid w:val="005941A9"/>
    <w:rsid w:val="005A3763"/>
    <w:rsid w:val="005D2B8D"/>
    <w:rsid w:val="005E6612"/>
    <w:rsid w:val="005E7FAE"/>
    <w:rsid w:val="005F3C8D"/>
    <w:rsid w:val="00602FEA"/>
    <w:rsid w:val="00607D79"/>
    <w:rsid w:val="006106A4"/>
    <w:rsid w:val="00612837"/>
    <w:rsid w:val="00626833"/>
    <w:rsid w:val="00694D34"/>
    <w:rsid w:val="006B0F60"/>
    <w:rsid w:val="006D25C6"/>
    <w:rsid w:val="006D6039"/>
    <w:rsid w:val="006E5BF7"/>
    <w:rsid w:val="006F524D"/>
    <w:rsid w:val="007963C5"/>
    <w:rsid w:val="007D0053"/>
    <w:rsid w:val="007D67CB"/>
    <w:rsid w:val="00806658"/>
    <w:rsid w:val="00812A75"/>
    <w:rsid w:val="008175F3"/>
    <w:rsid w:val="00845334"/>
    <w:rsid w:val="00856650"/>
    <w:rsid w:val="0089356C"/>
    <w:rsid w:val="00895CBF"/>
    <w:rsid w:val="0090412E"/>
    <w:rsid w:val="009146D3"/>
    <w:rsid w:val="009150AC"/>
    <w:rsid w:val="009155DA"/>
    <w:rsid w:val="00923D21"/>
    <w:rsid w:val="00925565"/>
    <w:rsid w:val="00937BF5"/>
    <w:rsid w:val="00961C2E"/>
    <w:rsid w:val="00966229"/>
    <w:rsid w:val="00986C87"/>
    <w:rsid w:val="009C2103"/>
    <w:rsid w:val="009C3739"/>
    <w:rsid w:val="009E4166"/>
    <w:rsid w:val="009F7363"/>
    <w:rsid w:val="00A1612F"/>
    <w:rsid w:val="00A25D5A"/>
    <w:rsid w:val="00A3004E"/>
    <w:rsid w:val="00A41C80"/>
    <w:rsid w:val="00A4378B"/>
    <w:rsid w:val="00A7411B"/>
    <w:rsid w:val="00A870C6"/>
    <w:rsid w:val="00AA101B"/>
    <w:rsid w:val="00AA1710"/>
    <w:rsid w:val="00AF53CC"/>
    <w:rsid w:val="00B07344"/>
    <w:rsid w:val="00B161D1"/>
    <w:rsid w:val="00B43EA2"/>
    <w:rsid w:val="00B60CA1"/>
    <w:rsid w:val="00B83DC1"/>
    <w:rsid w:val="00B93F4C"/>
    <w:rsid w:val="00C00A0C"/>
    <w:rsid w:val="00C12581"/>
    <w:rsid w:val="00C42AB1"/>
    <w:rsid w:val="00C472A7"/>
    <w:rsid w:val="00C7180B"/>
    <w:rsid w:val="00C875A3"/>
    <w:rsid w:val="00C9543B"/>
    <w:rsid w:val="00CA0F4D"/>
    <w:rsid w:val="00CA228B"/>
    <w:rsid w:val="00CC5201"/>
    <w:rsid w:val="00CD6C5E"/>
    <w:rsid w:val="00CF5291"/>
    <w:rsid w:val="00D206FF"/>
    <w:rsid w:val="00D33D42"/>
    <w:rsid w:val="00D83542"/>
    <w:rsid w:val="00D843F1"/>
    <w:rsid w:val="00D9417F"/>
    <w:rsid w:val="00DA24E6"/>
    <w:rsid w:val="00DD52A9"/>
    <w:rsid w:val="00E006FC"/>
    <w:rsid w:val="00E22464"/>
    <w:rsid w:val="00E23B7A"/>
    <w:rsid w:val="00E62B45"/>
    <w:rsid w:val="00E71862"/>
    <w:rsid w:val="00E722C3"/>
    <w:rsid w:val="00E73E93"/>
    <w:rsid w:val="00E971A5"/>
    <w:rsid w:val="00EE1FE9"/>
    <w:rsid w:val="00F014A7"/>
    <w:rsid w:val="00F525DA"/>
    <w:rsid w:val="00F6469E"/>
    <w:rsid w:val="00F72FB6"/>
    <w:rsid w:val="00F756AF"/>
    <w:rsid w:val="00F93F6C"/>
    <w:rsid w:val="00FA0FCF"/>
    <w:rsid w:val="00FC0682"/>
    <w:rsid w:val="00FD2F6E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2A7"/>
    <w:pPr>
      <w:tabs>
        <w:tab w:val="left" w:pos="851"/>
        <w:tab w:val="left" w:pos="1191"/>
        <w:tab w:val="left" w:pos="1531"/>
      </w:tabs>
    </w:pPr>
    <w:rPr>
      <w:rFonts w:ascii="Times" w:eastAsia="Times New Roman" w:hAnsi="Times"/>
      <w:sz w:val="22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Titolo2">
    <w:name w:val="heading 2"/>
    <w:basedOn w:val="Normale"/>
    <w:next w:val="Normale"/>
    <w:link w:val="Titolo2Carattere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qFormat/>
    <w:rsid w:val="00DD52A9"/>
    <w:pPr>
      <w:spacing w:before="240" w:after="24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DD52A9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DD52A9"/>
    <w:rPr>
      <w:b/>
      <w:bCs/>
      <w:sz w:val="22"/>
      <w:szCs w:val="22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DD52A9"/>
    <w:rPr>
      <w:i/>
      <w:iCs/>
      <w:sz w:val="22"/>
      <w:szCs w:val="22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DD52A9"/>
    <w:rPr>
      <w:sz w:val="22"/>
      <w:szCs w:val="22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DD52A9"/>
    <w:rPr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DD52A9"/>
    <w:rPr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DD52A9"/>
    <w:rPr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DD52A9"/>
    <w:rPr>
      <w:rFonts w:ascii="Arial" w:hAnsi="Arial" w:cs="Arial"/>
      <w:sz w:val="22"/>
      <w:szCs w:val="22"/>
      <w:lang w:val="en-GB" w:eastAsia="zh-CN"/>
    </w:rPr>
  </w:style>
  <w:style w:type="paragraph" w:styleId="Sommario1">
    <w:name w:val="toc 1"/>
    <w:basedOn w:val="Normale"/>
    <w:next w:val="Normale"/>
    <w:uiPriority w:val="39"/>
    <w:qFormat/>
    <w:rsid w:val="00DD52A9"/>
    <w:pPr>
      <w:tabs>
        <w:tab w:val="clear" w:pos="851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Sommario2">
    <w:name w:val="toc 2"/>
    <w:basedOn w:val="Normale"/>
    <w:next w:val="Normale"/>
    <w:uiPriority w:val="39"/>
    <w:qFormat/>
    <w:rsid w:val="00DD52A9"/>
    <w:pPr>
      <w:tabs>
        <w:tab w:val="clear" w:pos="851"/>
        <w:tab w:val="clear" w:pos="1191"/>
        <w:tab w:val="clear" w:pos="1531"/>
        <w:tab w:val="right" w:leader="dot" w:pos="6803"/>
      </w:tabs>
      <w:ind w:left="198"/>
    </w:pPr>
  </w:style>
  <w:style w:type="paragraph" w:styleId="Sommario3">
    <w:name w:val="toc 3"/>
    <w:basedOn w:val="Normale"/>
    <w:next w:val="Normale"/>
    <w:qFormat/>
    <w:rsid w:val="00DD52A9"/>
    <w:pPr>
      <w:tabs>
        <w:tab w:val="clear" w:pos="851"/>
        <w:tab w:val="clear" w:pos="1191"/>
        <w:tab w:val="clear" w:pos="1531"/>
        <w:tab w:val="right" w:leader="dot" w:pos="6803"/>
      </w:tabs>
      <w:ind w:left="397"/>
    </w:pPr>
  </w:style>
  <w:style w:type="paragraph" w:styleId="Sommario4">
    <w:name w:val="toc 4"/>
    <w:basedOn w:val="Normale"/>
    <w:next w:val="Normale"/>
    <w:qFormat/>
    <w:rsid w:val="00DD52A9"/>
    <w:pPr>
      <w:tabs>
        <w:tab w:val="clear" w:pos="851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Sommario5">
    <w:name w:val="toc 5"/>
    <w:basedOn w:val="Normale"/>
    <w:next w:val="Normale"/>
    <w:qFormat/>
    <w:rsid w:val="00DD52A9"/>
    <w:pPr>
      <w:tabs>
        <w:tab w:val="clear" w:pos="851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Sommario6">
    <w:name w:val="toc 6"/>
    <w:basedOn w:val="Normale"/>
    <w:next w:val="Normale"/>
    <w:qFormat/>
    <w:rsid w:val="00DD52A9"/>
    <w:pPr>
      <w:tabs>
        <w:tab w:val="clear" w:pos="851"/>
        <w:tab w:val="clear" w:pos="1191"/>
        <w:tab w:val="clear" w:pos="1531"/>
      </w:tabs>
      <w:ind w:left="1100"/>
    </w:pPr>
  </w:style>
  <w:style w:type="paragraph" w:styleId="Sommario7">
    <w:name w:val="toc 7"/>
    <w:basedOn w:val="Normale"/>
    <w:next w:val="Normale"/>
    <w:qFormat/>
    <w:rsid w:val="00DD52A9"/>
    <w:pPr>
      <w:tabs>
        <w:tab w:val="clear" w:pos="851"/>
        <w:tab w:val="clear" w:pos="1191"/>
        <w:tab w:val="clear" w:pos="1531"/>
      </w:tabs>
      <w:ind w:left="1320"/>
    </w:pPr>
  </w:style>
  <w:style w:type="paragraph" w:styleId="Sommario8">
    <w:name w:val="toc 8"/>
    <w:basedOn w:val="Normale"/>
    <w:next w:val="Normale"/>
    <w:qFormat/>
    <w:rsid w:val="00DD52A9"/>
    <w:pPr>
      <w:tabs>
        <w:tab w:val="clear" w:pos="851"/>
        <w:tab w:val="clear" w:pos="1191"/>
        <w:tab w:val="clear" w:pos="1531"/>
      </w:tabs>
      <w:ind w:left="1540"/>
    </w:pPr>
  </w:style>
  <w:style w:type="paragraph" w:styleId="Sommario9">
    <w:name w:val="toc 9"/>
    <w:basedOn w:val="Normale"/>
    <w:next w:val="Normale"/>
    <w:qFormat/>
    <w:rsid w:val="00DD52A9"/>
    <w:pPr>
      <w:tabs>
        <w:tab w:val="clear" w:pos="851"/>
        <w:tab w:val="clear" w:pos="1191"/>
        <w:tab w:val="clear" w:pos="1531"/>
      </w:tabs>
      <w:ind w:left="1760"/>
    </w:pPr>
  </w:style>
  <w:style w:type="paragraph" w:styleId="Didascalia">
    <w:name w:val="caption"/>
    <w:basedOn w:val="Normale"/>
    <w:next w:val="Normale"/>
    <w:qFormat/>
    <w:rsid w:val="00DD52A9"/>
    <w:pPr>
      <w:spacing w:before="120" w:after="120"/>
    </w:pPr>
    <w:rPr>
      <w:b/>
      <w:bCs/>
      <w:sz w:val="20"/>
    </w:rPr>
  </w:style>
  <w:style w:type="paragraph" w:styleId="Titolo">
    <w:name w:val="Title"/>
    <w:basedOn w:val="Normale"/>
    <w:link w:val="TitoloCarattere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ottotitolo">
    <w:name w:val="Subtitle"/>
    <w:basedOn w:val="Normale"/>
    <w:link w:val="SottotitoloCarattere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D52A9"/>
    <w:rPr>
      <w:rFonts w:ascii="Arial" w:hAnsi="Arial" w:cs="Arial"/>
      <w:sz w:val="24"/>
      <w:szCs w:val="24"/>
      <w:lang w:val="en-GB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6039"/>
    <w:pPr>
      <w:tabs>
        <w:tab w:val="clear" w:pos="851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6039"/>
    <w:rPr>
      <w:sz w:val="22"/>
      <w:szCs w:val="22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6039"/>
    <w:pPr>
      <w:tabs>
        <w:tab w:val="clear" w:pos="851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039"/>
    <w:rPr>
      <w:sz w:val="22"/>
      <w:szCs w:val="22"/>
      <w:lang w:val="en-GB" w:eastAsia="zh-CN"/>
    </w:rPr>
  </w:style>
  <w:style w:type="paragraph" w:styleId="Corpodeltesto">
    <w:name w:val="Body Text"/>
    <w:basedOn w:val="Normale"/>
    <w:link w:val="CorpodeltestoCarattere"/>
    <w:rsid w:val="00C472A7"/>
    <w:pPr>
      <w:tabs>
        <w:tab w:val="clear" w:pos="851"/>
        <w:tab w:val="left" w:pos="850"/>
      </w:tabs>
      <w:spacing w:after="240"/>
      <w:ind w:firstLine="442"/>
      <w:jc w:val="both"/>
    </w:pPr>
    <w:rPr>
      <w:rFonts w:ascii="Times New Roman" w:hAnsi="Times New Roman"/>
      <w:szCs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472A7"/>
    <w:rPr>
      <w:rFonts w:eastAsia="Times New Roman"/>
      <w:sz w:val="22"/>
      <w:szCs w:val="22"/>
      <w:lang w:val="en-GB" w:eastAsia="zh-CN"/>
    </w:rPr>
  </w:style>
  <w:style w:type="character" w:styleId="Rimandocommento">
    <w:name w:val="annotation reference"/>
    <w:uiPriority w:val="99"/>
    <w:semiHidden/>
    <w:unhideWhenUsed/>
    <w:rsid w:val="00C472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72A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72A7"/>
    <w:rPr>
      <w:rFonts w:ascii="Times" w:eastAsia="Times New Roman" w:hAnsi="Times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A7"/>
    <w:rPr>
      <w:rFonts w:ascii="Tahoma" w:eastAsia="Times New Roman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E971A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0A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0A0C"/>
    <w:rPr>
      <w:rFonts w:ascii="Times" w:eastAsia="Times New Roman" w:hAnsi="Times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BAUCHER Marie-Ange</dc:creator>
  <cp:lastModifiedBy>Asus</cp:lastModifiedBy>
  <cp:revision>2</cp:revision>
  <dcterms:created xsi:type="dcterms:W3CDTF">2018-06-06T09:51:00Z</dcterms:created>
  <dcterms:modified xsi:type="dcterms:W3CDTF">2018-06-06T09:51:00Z</dcterms:modified>
</cp:coreProperties>
</file>