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952EC" w:rsidRDefault="00E952EC">
      <w:pPr>
        <w:jc w:val="center"/>
        <w:rPr>
          <w:b/>
          <w:color w:val="3D85C6"/>
          <w:sz w:val="36"/>
          <w:szCs w:val="36"/>
        </w:rPr>
      </w:pPr>
      <w:bookmarkStart w:id="0" w:name="_GoBack"/>
      <w:bookmarkEnd w:id="0"/>
    </w:p>
    <w:p w:rsidR="00E952EC" w:rsidRDefault="00E952EC">
      <w:pPr>
        <w:jc w:val="center"/>
        <w:rPr>
          <w:b/>
          <w:color w:val="3D85C6"/>
          <w:sz w:val="36"/>
          <w:szCs w:val="36"/>
        </w:rPr>
      </w:pPr>
    </w:p>
    <w:p w:rsidR="00E952EC" w:rsidRDefault="00E952EC">
      <w:pPr>
        <w:jc w:val="center"/>
        <w:rPr>
          <w:b/>
          <w:color w:val="3D85C6"/>
          <w:sz w:val="36"/>
          <w:szCs w:val="36"/>
        </w:rPr>
      </w:pPr>
    </w:p>
    <w:p w:rsidR="00E952EC" w:rsidRDefault="00E952EC">
      <w:pPr>
        <w:jc w:val="center"/>
        <w:rPr>
          <w:b/>
          <w:color w:val="3D85C6"/>
          <w:sz w:val="36"/>
          <w:szCs w:val="36"/>
        </w:rPr>
      </w:pPr>
    </w:p>
    <w:p w:rsidR="00E952EC" w:rsidRDefault="00E952EC">
      <w:pPr>
        <w:jc w:val="center"/>
        <w:rPr>
          <w:b/>
          <w:color w:val="3D85C6"/>
          <w:sz w:val="36"/>
          <w:szCs w:val="36"/>
        </w:rPr>
      </w:pPr>
    </w:p>
    <w:p w:rsidR="00E952EC" w:rsidRDefault="00E952EC">
      <w:pPr>
        <w:jc w:val="center"/>
        <w:rPr>
          <w:b/>
          <w:color w:val="3D85C6"/>
          <w:sz w:val="36"/>
          <w:szCs w:val="36"/>
        </w:rPr>
      </w:pPr>
    </w:p>
    <w:p w:rsidR="00E952EC" w:rsidRDefault="00E952EC">
      <w:pPr>
        <w:jc w:val="center"/>
        <w:rPr>
          <w:b/>
          <w:color w:val="3D85C6"/>
          <w:sz w:val="36"/>
          <w:szCs w:val="36"/>
        </w:rPr>
      </w:pPr>
    </w:p>
    <w:p w:rsidR="00E952EC" w:rsidRDefault="00EE0C3B">
      <w:pPr>
        <w:jc w:val="center"/>
        <w:rPr>
          <w:b/>
          <w:color w:val="3D85C6"/>
          <w:sz w:val="36"/>
          <w:szCs w:val="36"/>
        </w:rPr>
      </w:pPr>
      <w:r>
        <w:rPr>
          <w:b/>
          <w:color w:val="3D85C6"/>
          <w:sz w:val="36"/>
          <w:szCs w:val="36"/>
        </w:rPr>
        <w:t>Emergenza West Nile Virus</w:t>
      </w:r>
    </w:p>
    <w:p w:rsidR="00E952EC" w:rsidRDefault="00E952EC">
      <w:pPr>
        <w:jc w:val="center"/>
        <w:rPr>
          <w:b/>
          <w:color w:val="3D85C6"/>
          <w:sz w:val="36"/>
          <w:szCs w:val="36"/>
        </w:rPr>
      </w:pPr>
    </w:p>
    <w:p w:rsidR="00E952EC" w:rsidRDefault="00E952EC">
      <w:pPr>
        <w:jc w:val="center"/>
        <w:rPr>
          <w:b/>
          <w:color w:val="3D85C6"/>
          <w:sz w:val="36"/>
          <w:szCs w:val="36"/>
        </w:rPr>
      </w:pPr>
    </w:p>
    <w:p w:rsidR="00E952EC" w:rsidRDefault="00E952EC">
      <w:pPr>
        <w:jc w:val="center"/>
        <w:rPr>
          <w:color w:val="3D85C6"/>
        </w:rPr>
      </w:pPr>
    </w:p>
    <w:p w:rsidR="00E952EC" w:rsidRDefault="00EE0C3B">
      <w:pPr>
        <w:jc w:val="center"/>
        <w:rPr>
          <w:b/>
          <w:color w:val="3D85C6"/>
          <w:sz w:val="48"/>
          <w:szCs w:val="48"/>
        </w:rPr>
      </w:pPr>
      <w:r>
        <w:rPr>
          <w:b/>
          <w:color w:val="3D85C6"/>
          <w:sz w:val="48"/>
          <w:szCs w:val="48"/>
        </w:rPr>
        <w:t>PIANO STRAORDINARIO PER IL CONTRASTO ALLA DIFFUSIONE DI WEST NILE VIRUS</w:t>
      </w:r>
    </w:p>
    <w:p w:rsidR="00E952EC" w:rsidRDefault="00BC4B5C">
      <w:pPr>
        <w:spacing w:line="240" w:lineRule="auto"/>
        <w:rPr>
          <w:b/>
          <w:color w:val="3D85C6"/>
          <w:sz w:val="48"/>
          <w:szCs w:val="48"/>
        </w:rPr>
      </w:pPr>
      <w:r>
        <w:pict>
          <v:rect id="_x0000_i1025" style="width:0;height:1.5pt" o:hralign="center" o:hrstd="t" o:hr="t" fillcolor="#a0a0a0" stroked="f"/>
        </w:pict>
      </w:r>
    </w:p>
    <w:p w:rsidR="00E952EC" w:rsidRDefault="00E952EC">
      <w:pPr>
        <w:jc w:val="center"/>
        <w:rPr>
          <w:b/>
          <w:color w:val="3D85C6"/>
          <w:sz w:val="48"/>
          <w:szCs w:val="48"/>
        </w:rPr>
      </w:pPr>
    </w:p>
    <w:p w:rsidR="00E952EC" w:rsidRDefault="00E952EC">
      <w:pPr>
        <w:jc w:val="center"/>
        <w:rPr>
          <w:b/>
          <w:color w:val="3D85C6"/>
          <w:sz w:val="26"/>
          <w:szCs w:val="26"/>
        </w:rPr>
      </w:pPr>
    </w:p>
    <w:p w:rsidR="00E952EC" w:rsidRDefault="00EE0C3B">
      <w:pPr>
        <w:jc w:val="center"/>
        <w:rPr>
          <w:b/>
          <w:color w:val="3D85C6"/>
          <w:sz w:val="36"/>
          <w:szCs w:val="36"/>
        </w:rPr>
      </w:pPr>
      <w:r>
        <w:rPr>
          <w:b/>
          <w:color w:val="3D85C6"/>
          <w:sz w:val="36"/>
          <w:szCs w:val="36"/>
        </w:rPr>
        <w:t>AGOSTO 2022</w:t>
      </w:r>
    </w:p>
    <w:p w:rsidR="00E952EC" w:rsidRDefault="00E952EC">
      <w:pPr>
        <w:jc w:val="center"/>
        <w:rPr>
          <w:b/>
          <w:sz w:val="26"/>
          <w:szCs w:val="26"/>
        </w:rPr>
      </w:pPr>
    </w:p>
    <w:p w:rsidR="00E952EC" w:rsidRDefault="00E952EC">
      <w:pPr>
        <w:ind w:right="12"/>
        <w:jc w:val="left"/>
        <w:rPr>
          <w:b/>
          <w:sz w:val="26"/>
          <w:szCs w:val="26"/>
        </w:rPr>
      </w:pPr>
    </w:p>
    <w:p w:rsidR="00E952EC" w:rsidRDefault="00E952EC">
      <w:pPr>
        <w:pStyle w:val="Sottotitolo"/>
        <w:keepNext w:val="0"/>
        <w:keepLines w:val="0"/>
        <w:spacing w:after="160"/>
        <w:rPr>
          <w:rFonts w:ascii="Calibri" w:eastAsia="Calibri" w:hAnsi="Calibri" w:cs="Calibri"/>
          <w:color w:val="5A5A5A"/>
          <w:sz w:val="20"/>
          <w:szCs w:val="20"/>
        </w:rPr>
      </w:pPr>
      <w:bookmarkStart w:id="1" w:name="_536xab1mk0io" w:colFirst="0" w:colLast="0"/>
      <w:bookmarkEnd w:id="1"/>
    </w:p>
    <w:p w:rsidR="00E952EC" w:rsidRDefault="00E952EC">
      <w:pPr>
        <w:pStyle w:val="Sottotitolo"/>
        <w:keepNext w:val="0"/>
        <w:keepLines w:val="0"/>
        <w:spacing w:after="160"/>
        <w:rPr>
          <w:rFonts w:ascii="Calibri" w:eastAsia="Calibri" w:hAnsi="Calibri" w:cs="Calibri"/>
          <w:color w:val="5A5A5A"/>
          <w:sz w:val="20"/>
          <w:szCs w:val="20"/>
        </w:rPr>
      </w:pPr>
      <w:bookmarkStart w:id="2" w:name="_e1xzxkauf71w" w:colFirst="0" w:colLast="0"/>
      <w:bookmarkEnd w:id="2"/>
    </w:p>
    <w:p w:rsidR="00E952EC" w:rsidRDefault="00E952EC">
      <w:pPr>
        <w:pStyle w:val="Sottotitolo"/>
        <w:keepNext w:val="0"/>
        <w:keepLines w:val="0"/>
        <w:spacing w:after="160"/>
        <w:rPr>
          <w:rFonts w:ascii="Calibri" w:eastAsia="Calibri" w:hAnsi="Calibri" w:cs="Calibri"/>
          <w:color w:val="5A5A5A"/>
          <w:sz w:val="20"/>
          <w:szCs w:val="20"/>
        </w:rPr>
      </w:pPr>
      <w:bookmarkStart w:id="3" w:name="_srxfp83ykqkd" w:colFirst="0" w:colLast="0"/>
      <w:bookmarkEnd w:id="3"/>
    </w:p>
    <w:p w:rsidR="00E952EC" w:rsidRDefault="00E952EC">
      <w:pPr>
        <w:pStyle w:val="Sottotitolo"/>
        <w:keepNext w:val="0"/>
        <w:keepLines w:val="0"/>
        <w:spacing w:after="160"/>
        <w:rPr>
          <w:rFonts w:ascii="Calibri" w:eastAsia="Calibri" w:hAnsi="Calibri" w:cs="Calibri"/>
          <w:color w:val="5A5A5A"/>
          <w:sz w:val="20"/>
          <w:szCs w:val="20"/>
        </w:rPr>
      </w:pPr>
      <w:bookmarkStart w:id="4" w:name="_ofrcaqmxl9qa" w:colFirst="0" w:colLast="0"/>
      <w:bookmarkEnd w:id="4"/>
    </w:p>
    <w:p w:rsidR="00E952EC" w:rsidRDefault="00E952EC">
      <w:pPr>
        <w:pStyle w:val="Sottotitolo"/>
        <w:keepNext w:val="0"/>
        <w:keepLines w:val="0"/>
        <w:spacing w:after="160"/>
        <w:rPr>
          <w:rFonts w:ascii="Calibri" w:eastAsia="Calibri" w:hAnsi="Calibri" w:cs="Calibri"/>
          <w:color w:val="5A5A5A"/>
          <w:sz w:val="20"/>
          <w:szCs w:val="20"/>
        </w:rPr>
      </w:pPr>
      <w:bookmarkStart w:id="5" w:name="_rue6roa1n0i" w:colFirst="0" w:colLast="0"/>
      <w:bookmarkEnd w:id="5"/>
    </w:p>
    <w:p w:rsidR="00E952EC" w:rsidRDefault="00E952EC">
      <w:pPr>
        <w:pStyle w:val="Sottotitolo"/>
        <w:keepNext w:val="0"/>
        <w:keepLines w:val="0"/>
        <w:spacing w:after="160"/>
        <w:rPr>
          <w:rFonts w:ascii="Calibri" w:eastAsia="Calibri" w:hAnsi="Calibri" w:cs="Calibri"/>
          <w:color w:val="5A5A5A"/>
          <w:sz w:val="20"/>
          <w:szCs w:val="20"/>
        </w:rPr>
      </w:pPr>
      <w:bookmarkStart w:id="6" w:name="_neircgv06d5z" w:colFirst="0" w:colLast="0"/>
      <w:bookmarkEnd w:id="6"/>
    </w:p>
    <w:p w:rsidR="00E952EC" w:rsidRDefault="00E952EC">
      <w:pPr>
        <w:pStyle w:val="Sottotitolo"/>
        <w:keepNext w:val="0"/>
        <w:keepLines w:val="0"/>
        <w:spacing w:after="160"/>
        <w:rPr>
          <w:rFonts w:ascii="Calibri" w:eastAsia="Calibri" w:hAnsi="Calibri" w:cs="Calibri"/>
          <w:color w:val="5A5A5A"/>
          <w:sz w:val="20"/>
          <w:szCs w:val="20"/>
        </w:rPr>
      </w:pPr>
      <w:bookmarkStart w:id="7" w:name="_5q99z9k5h2an" w:colFirst="0" w:colLast="0"/>
      <w:bookmarkEnd w:id="7"/>
    </w:p>
    <w:p w:rsidR="00E952EC" w:rsidRDefault="00E952EC">
      <w:pPr>
        <w:pStyle w:val="Sottotitolo"/>
        <w:keepNext w:val="0"/>
        <w:keepLines w:val="0"/>
        <w:spacing w:after="160"/>
        <w:rPr>
          <w:rFonts w:ascii="Calibri" w:eastAsia="Calibri" w:hAnsi="Calibri" w:cs="Calibri"/>
          <w:color w:val="5A5A5A"/>
          <w:sz w:val="20"/>
          <w:szCs w:val="20"/>
        </w:rPr>
      </w:pPr>
      <w:bookmarkStart w:id="8" w:name="_6z029pk8y79g" w:colFirst="0" w:colLast="0"/>
      <w:bookmarkEnd w:id="8"/>
    </w:p>
    <w:p w:rsidR="00E952EC" w:rsidRDefault="00EE0C3B">
      <w:pPr>
        <w:pStyle w:val="Sottotitolo"/>
        <w:keepNext w:val="0"/>
        <w:keepLines w:val="0"/>
        <w:spacing w:after="160"/>
        <w:rPr>
          <w:rFonts w:ascii="Calibri" w:eastAsia="Calibri" w:hAnsi="Calibri" w:cs="Calibri"/>
          <w:b/>
          <w:sz w:val="20"/>
          <w:szCs w:val="20"/>
        </w:rPr>
        <w:sectPr w:rsidR="00E952EC">
          <w:headerReference w:type="default" r:id="rId7"/>
          <w:footerReference w:type="default" r:id="rId8"/>
          <w:headerReference w:type="first" r:id="rId9"/>
          <w:footerReference w:type="first" r:id="rId10"/>
          <w:pgSz w:w="11906" w:h="16838"/>
          <w:pgMar w:top="1440" w:right="1440" w:bottom="1440" w:left="1440" w:header="720" w:footer="720" w:gutter="0"/>
          <w:pgNumType w:start="0"/>
          <w:cols w:space="720"/>
          <w:titlePg/>
        </w:sectPr>
      </w:pPr>
      <w:bookmarkStart w:id="9" w:name="_fly1rblsz8fk" w:colFirst="0" w:colLast="0"/>
      <w:bookmarkEnd w:id="9"/>
      <w:r>
        <w:rPr>
          <w:rFonts w:ascii="Calibri" w:eastAsia="Calibri" w:hAnsi="Calibri" w:cs="Calibri"/>
          <w:color w:val="5A5A5A"/>
          <w:sz w:val="20"/>
          <w:szCs w:val="20"/>
        </w:rPr>
        <w:t xml:space="preserve">Direzione Prevenzione, Sicurezza Alimentare, Veterinaria </w:t>
      </w:r>
      <w:r>
        <w:rPr>
          <w:rFonts w:ascii="Calibri" w:eastAsia="Calibri" w:hAnsi="Calibri" w:cs="Calibri"/>
          <w:color w:val="5A5A5A"/>
          <w:sz w:val="20"/>
          <w:szCs w:val="20"/>
        </w:rPr>
        <w:br/>
        <w:t>Area Sanità e Sociale | Regione del Veneto</w:t>
      </w:r>
    </w:p>
    <w:p w:rsidR="00E952EC" w:rsidRDefault="00EE0C3B">
      <w:pPr>
        <w:rPr>
          <w:b/>
          <w:color w:val="3D85C6"/>
          <w:sz w:val="24"/>
          <w:szCs w:val="24"/>
        </w:rPr>
      </w:pPr>
      <w:r>
        <w:rPr>
          <w:b/>
          <w:color w:val="3D85C6"/>
          <w:sz w:val="24"/>
          <w:szCs w:val="24"/>
        </w:rPr>
        <w:lastRenderedPageBreak/>
        <w:t>SOMMARIO</w:t>
      </w:r>
    </w:p>
    <w:p w:rsidR="00E952EC" w:rsidRDefault="00E952EC">
      <w:pPr>
        <w:rPr>
          <w:b/>
          <w:sz w:val="24"/>
          <w:szCs w:val="24"/>
        </w:rPr>
      </w:pPr>
    </w:p>
    <w:p w:rsidR="00E952EC" w:rsidRDefault="00E952EC"/>
    <w:sdt>
      <w:sdtPr>
        <w:id w:val="-748878929"/>
        <w:docPartObj>
          <w:docPartGallery w:val="Table of Contents"/>
          <w:docPartUnique/>
        </w:docPartObj>
      </w:sdtPr>
      <w:sdtContent>
        <w:p w:rsidR="00E952EC" w:rsidRDefault="00BC4B5C">
          <w:pPr>
            <w:tabs>
              <w:tab w:val="right" w:pos="9025"/>
            </w:tabs>
            <w:spacing w:before="80" w:line="240" w:lineRule="auto"/>
            <w:rPr>
              <w:b/>
              <w:color w:val="000000"/>
            </w:rPr>
          </w:pPr>
          <w:r>
            <w:fldChar w:fldCharType="begin"/>
          </w:r>
          <w:r w:rsidR="00EE0C3B">
            <w:instrText xml:space="preserve"> TOC \h \u \z </w:instrText>
          </w:r>
          <w:r>
            <w:fldChar w:fldCharType="separate"/>
          </w:r>
          <w:hyperlink w:anchor="_24vbuogli2mz">
            <w:r w:rsidR="00EE0C3B">
              <w:rPr>
                <w:b/>
                <w:color w:val="000000"/>
              </w:rPr>
              <w:t>CONTESTO E RAZIONALE</w:t>
            </w:r>
          </w:hyperlink>
          <w:r w:rsidR="00EE0C3B">
            <w:rPr>
              <w:b/>
              <w:color w:val="000000"/>
            </w:rPr>
            <w:tab/>
          </w:r>
          <w:r>
            <w:fldChar w:fldCharType="begin"/>
          </w:r>
          <w:r w:rsidR="00EE0C3B">
            <w:instrText xml:space="preserve"> PAGEREF _24vbuogli2mz \h </w:instrText>
          </w:r>
          <w:r>
            <w:fldChar w:fldCharType="separate"/>
          </w:r>
          <w:r w:rsidR="00EE0C3B">
            <w:rPr>
              <w:b/>
              <w:color w:val="000000"/>
            </w:rPr>
            <w:t>2</w:t>
          </w:r>
          <w:r>
            <w:fldChar w:fldCharType="end"/>
          </w:r>
        </w:p>
        <w:p w:rsidR="00E952EC" w:rsidRDefault="00BC4B5C">
          <w:pPr>
            <w:tabs>
              <w:tab w:val="right" w:pos="9025"/>
            </w:tabs>
            <w:spacing w:before="200" w:line="240" w:lineRule="auto"/>
          </w:pPr>
          <w:hyperlink w:anchor="_9e08jfqx2lv">
            <w:r w:rsidR="00EE0C3B">
              <w:rPr>
                <w:b/>
              </w:rPr>
              <w:t>OBIETTIVI</w:t>
            </w:r>
          </w:hyperlink>
          <w:r w:rsidR="00EE0C3B">
            <w:rPr>
              <w:b/>
            </w:rPr>
            <w:tab/>
          </w:r>
          <w:r>
            <w:fldChar w:fldCharType="begin"/>
          </w:r>
          <w:r w:rsidR="00EE0C3B">
            <w:instrText xml:space="preserve"> PAGEREF _9e08jfqx2lv \h </w:instrText>
          </w:r>
          <w:r>
            <w:fldChar w:fldCharType="separate"/>
          </w:r>
          <w:r w:rsidR="00EE0C3B">
            <w:rPr>
              <w:b/>
            </w:rPr>
            <w:t>3</w:t>
          </w:r>
          <w:r>
            <w:fldChar w:fldCharType="end"/>
          </w:r>
        </w:p>
        <w:p w:rsidR="00E952EC" w:rsidRDefault="00BC4B5C">
          <w:pPr>
            <w:tabs>
              <w:tab w:val="right" w:pos="9025"/>
            </w:tabs>
            <w:spacing w:before="200" w:line="240" w:lineRule="auto"/>
            <w:rPr>
              <w:b/>
              <w:color w:val="000000"/>
            </w:rPr>
          </w:pPr>
          <w:hyperlink w:anchor="_14m4q0eobo8i">
            <w:r w:rsidR="00EE0C3B">
              <w:rPr>
                <w:b/>
                <w:color w:val="000000"/>
              </w:rPr>
              <w:t>STRATEGIA</w:t>
            </w:r>
          </w:hyperlink>
          <w:r w:rsidR="00EE0C3B">
            <w:rPr>
              <w:b/>
              <w:color w:val="000000"/>
            </w:rPr>
            <w:tab/>
          </w:r>
          <w:r>
            <w:fldChar w:fldCharType="begin"/>
          </w:r>
          <w:r w:rsidR="00EE0C3B">
            <w:instrText xml:space="preserve"> PAGEREF _14m4q0eobo8i \h </w:instrText>
          </w:r>
          <w:r>
            <w:fldChar w:fldCharType="separate"/>
          </w:r>
          <w:r w:rsidR="00EE0C3B">
            <w:rPr>
              <w:b/>
              <w:color w:val="000000"/>
            </w:rPr>
            <w:t>3</w:t>
          </w:r>
          <w:r>
            <w:fldChar w:fldCharType="end"/>
          </w:r>
        </w:p>
        <w:p w:rsidR="00E952EC" w:rsidRDefault="00BC4B5C">
          <w:pPr>
            <w:tabs>
              <w:tab w:val="right" w:pos="9025"/>
            </w:tabs>
            <w:spacing w:before="200" w:line="240" w:lineRule="auto"/>
            <w:rPr>
              <w:b/>
              <w:color w:val="000000"/>
            </w:rPr>
          </w:pPr>
          <w:hyperlink w:anchor="_zs72t8frsjj">
            <w:r w:rsidR="00EE0C3B">
              <w:rPr>
                <w:b/>
                <w:color w:val="000000"/>
              </w:rPr>
              <w:t>ATTORI COINVOLTI</w:t>
            </w:r>
          </w:hyperlink>
          <w:r w:rsidR="00EE0C3B">
            <w:rPr>
              <w:b/>
              <w:color w:val="000000"/>
            </w:rPr>
            <w:tab/>
          </w:r>
          <w:r>
            <w:fldChar w:fldCharType="begin"/>
          </w:r>
          <w:r w:rsidR="00EE0C3B">
            <w:instrText xml:space="preserve"> PAGEREF _zs72t8frsjj \h </w:instrText>
          </w:r>
          <w:r>
            <w:fldChar w:fldCharType="separate"/>
          </w:r>
          <w:r w:rsidR="00EE0C3B">
            <w:rPr>
              <w:b/>
              <w:color w:val="000000"/>
            </w:rPr>
            <w:t>3</w:t>
          </w:r>
          <w:r>
            <w:fldChar w:fldCharType="end"/>
          </w:r>
        </w:p>
        <w:p w:rsidR="00E952EC" w:rsidRDefault="00BC4B5C">
          <w:pPr>
            <w:tabs>
              <w:tab w:val="right" w:pos="9025"/>
            </w:tabs>
            <w:spacing w:before="200" w:line="240" w:lineRule="auto"/>
            <w:rPr>
              <w:b/>
              <w:color w:val="000000"/>
            </w:rPr>
          </w:pPr>
          <w:hyperlink w:anchor="_d3u399u6kz3i">
            <w:r w:rsidR="00EE0C3B">
              <w:rPr>
                <w:b/>
                <w:color w:val="000000"/>
              </w:rPr>
              <w:t>PIANO STRAORDINARIO E CRONOPROGRAMMA DI ATTUAZIONE</w:t>
            </w:r>
          </w:hyperlink>
          <w:r w:rsidR="00EE0C3B">
            <w:rPr>
              <w:b/>
              <w:color w:val="000000"/>
            </w:rPr>
            <w:tab/>
          </w:r>
          <w:r>
            <w:fldChar w:fldCharType="begin"/>
          </w:r>
          <w:r w:rsidR="00EE0C3B">
            <w:instrText xml:space="preserve"> PAGEREF _d3u399u6kz3i \h </w:instrText>
          </w:r>
          <w:r>
            <w:fldChar w:fldCharType="separate"/>
          </w:r>
          <w:r w:rsidR="00EE0C3B">
            <w:rPr>
              <w:b/>
              <w:color w:val="000000"/>
            </w:rPr>
            <w:t>5</w:t>
          </w:r>
          <w:r>
            <w:fldChar w:fldCharType="end"/>
          </w:r>
        </w:p>
        <w:p w:rsidR="00E952EC" w:rsidRDefault="00BC4B5C">
          <w:pPr>
            <w:tabs>
              <w:tab w:val="right" w:pos="9025"/>
            </w:tabs>
            <w:spacing w:before="60" w:line="240" w:lineRule="auto"/>
            <w:ind w:left="360"/>
            <w:rPr>
              <w:color w:val="000000"/>
            </w:rPr>
          </w:pPr>
          <w:hyperlink w:anchor="_m46cqv57k61">
            <w:r w:rsidR="00EE0C3B">
              <w:rPr>
                <w:color w:val="000000"/>
              </w:rPr>
              <w:t>1. Estensione della rete di diagnostica di laboratorio</w:t>
            </w:r>
          </w:hyperlink>
          <w:r w:rsidR="00EE0C3B">
            <w:rPr>
              <w:color w:val="000000"/>
            </w:rPr>
            <w:tab/>
          </w:r>
          <w:r>
            <w:fldChar w:fldCharType="begin"/>
          </w:r>
          <w:r w:rsidR="00EE0C3B">
            <w:instrText xml:space="preserve"> PAGEREF _m46cqv57k61 \h </w:instrText>
          </w:r>
          <w:r>
            <w:fldChar w:fldCharType="separate"/>
          </w:r>
          <w:r w:rsidR="00EE0C3B">
            <w:rPr>
              <w:color w:val="000000"/>
            </w:rPr>
            <w:t>6</w:t>
          </w:r>
          <w:r>
            <w:fldChar w:fldCharType="end"/>
          </w:r>
        </w:p>
        <w:p w:rsidR="00E952EC" w:rsidRDefault="00BC4B5C">
          <w:pPr>
            <w:tabs>
              <w:tab w:val="right" w:pos="9025"/>
            </w:tabs>
            <w:spacing w:before="60" w:line="240" w:lineRule="auto"/>
            <w:ind w:left="360"/>
          </w:pPr>
          <w:hyperlink w:anchor="_es8ig2d1hgv">
            <w:r w:rsidR="00EE0C3B">
              <w:t>2. Rafforzamento del monitoraggio epidemiologico integrato con definizione dello strumento per la valutazione del rischio</w:t>
            </w:r>
          </w:hyperlink>
          <w:r w:rsidR="00EE0C3B">
            <w:tab/>
          </w:r>
          <w:r>
            <w:fldChar w:fldCharType="begin"/>
          </w:r>
          <w:r w:rsidR="00EE0C3B">
            <w:instrText xml:space="preserve"> PAGEREF _es8ig2d1hgv \h </w:instrText>
          </w:r>
          <w:r>
            <w:fldChar w:fldCharType="separate"/>
          </w:r>
          <w:r w:rsidR="00EE0C3B">
            <w:t>6</w:t>
          </w:r>
          <w:r>
            <w:fldChar w:fldCharType="end"/>
          </w:r>
        </w:p>
        <w:p w:rsidR="00E952EC" w:rsidRDefault="00BC4B5C">
          <w:pPr>
            <w:tabs>
              <w:tab w:val="right" w:pos="9025"/>
            </w:tabs>
            <w:spacing w:before="60" w:line="240" w:lineRule="auto"/>
            <w:ind w:left="360"/>
          </w:pPr>
          <w:hyperlink w:anchor="_bmb0ex60vzm">
            <w:r w:rsidR="00EE0C3B">
              <w:t>4. Mappatura e valutazione del rischio nel territorio regionale (valutazione al 25.8.2022)</w:t>
            </w:r>
          </w:hyperlink>
          <w:r w:rsidR="00EE0C3B">
            <w:tab/>
          </w:r>
          <w:r>
            <w:fldChar w:fldCharType="begin"/>
          </w:r>
          <w:r w:rsidR="00EE0C3B">
            <w:instrText xml:space="preserve"> PAGEREF _bmb0ex60vzm \h </w:instrText>
          </w:r>
          <w:r>
            <w:fldChar w:fldCharType="separate"/>
          </w:r>
          <w:r w:rsidR="00EE0C3B">
            <w:t>8</w:t>
          </w:r>
          <w:r>
            <w:fldChar w:fldCharType="end"/>
          </w:r>
        </w:p>
        <w:p w:rsidR="00E952EC" w:rsidRDefault="00BC4B5C">
          <w:pPr>
            <w:tabs>
              <w:tab w:val="right" w:pos="9025"/>
            </w:tabs>
            <w:spacing w:before="60" w:line="240" w:lineRule="auto"/>
            <w:ind w:left="360"/>
            <w:rPr>
              <w:color w:val="000000"/>
            </w:rPr>
          </w:pPr>
          <w:hyperlink w:anchor="_v2qzrnff1p3n">
            <w:r w:rsidR="00EE0C3B">
              <w:rPr>
                <w:color w:val="000000"/>
              </w:rPr>
              <w:t>5. Definizione degli interventi da effettuare in base al livello di rischio</w:t>
            </w:r>
          </w:hyperlink>
          <w:r w:rsidR="00EE0C3B">
            <w:rPr>
              <w:color w:val="000000"/>
            </w:rPr>
            <w:tab/>
          </w:r>
          <w:r>
            <w:fldChar w:fldCharType="begin"/>
          </w:r>
          <w:r w:rsidR="00EE0C3B">
            <w:instrText xml:space="preserve"> PAGEREF _v2qzrnff1p3n \h </w:instrText>
          </w:r>
          <w:r>
            <w:fldChar w:fldCharType="separate"/>
          </w:r>
          <w:r w:rsidR="00EE0C3B">
            <w:rPr>
              <w:color w:val="000000"/>
            </w:rPr>
            <w:t>8</w:t>
          </w:r>
          <w:r>
            <w:fldChar w:fldCharType="end"/>
          </w:r>
        </w:p>
        <w:p w:rsidR="00E952EC" w:rsidRDefault="00BC4B5C">
          <w:pPr>
            <w:tabs>
              <w:tab w:val="right" w:pos="9025"/>
            </w:tabs>
            <w:spacing w:before="60" w:line="240" w:lineRule="auto"/>
            <w:ind w:left="360"/>
            <w:rPr>
              <w:color w:val="000000"/>
            </w:rPr>
          </w:pPr>
          <w:hyperlink w:anchor="_xbgp301bs6xf">
            <w:r w:rsidR="00EE0C3B">
              <w:rPr>
                <w:color w:val="000000"/>
              </w:rPr>
              <w:t>6. Pianificazione e attuazione degli interventi di contrasto al vettore tramite disinfestazione</w:t>
            </w:r>
          </w:hyperlink>
          <w:r w:rsidR="00EE0C3B">
            <w:rPr>
              <w:color w:val="000000"/>
            </w:rPr>
            <w:tab/>
          </w:r>
          <w:r>
            <w:fldChar w:fldCharType="begin"/>
          </w:r>
          <w:r w:rsidR="00EE0C3B">
            <w:instrText xml:space="preserve"> PAGEREF _xbgp301bs6xf \h </w:instrText>
          </w:r>
          <w:r>
            <w:fldChar w:fldCharType="separate"/>
          </w:r>
          <w:r w:rsidR="00EE0C3B">
            <w:rPr>
              <w:color w:val="000000"/>
            </w:rPr>
            <w:t>9</w:t>
          </w:r>
          <w:r>
            <w:fldChar w:fldCharType="end"/>
          </w:r>
        </w:p>
        <w:p w:rsidR="00E952EC" w:rsidRDefault="00BC4B5C">
          <w:pPr>
            <w:tabs>
              <w:tab w:val="right" w:pos="9025"/>
            </w:tabs>
            <w:spacing w:before="60" w:line="240" w:lineRule="auto"/>
            <w:ind w:left="360"/>
            <w:rPr>
              <w:color w:val="000000"/>
            </w:rPr>
          </w:pPr>
          <w:hyperlink w:anchor="_q0bq54i08oo1">
            <w:r w:rsidR="00EE0C3B">
              <w:rPr>
                <w:color w:val="000000"/>
              </w:rPr>
              <w:t>7. Rafforzamento della comunicazione prioritariamente rivolta ai soggetti a maggior rischio</w:t>
            </w:r>
          </w:hyperlink>
          <w:r w:rsidR="00EE0C3B">
            <w:rPr>
              <w:color w:val="000000"/>
            </w:rPr>
            <w:tab/>
          </w:r>
          <w:r>
            <w:fldChar w:fldCharType="begin"/>
          </w:r>
          <w:r w:rsidR="00EE0C3B">
            <w:instrText xml:space="preserve"> PAGEREF _q0bq54i08oo1 \h </w:instrText>
          </w:r>
          <w:r>
            <w:fldChar w:fldCharType="separate"/>
          </w:r>
          <w:r w:rsidR="00EE0C3B">
            <w:rPr>
              <w:color w:val="000000"/>
            </w:rPr>
            <w:t>9</w:t>
          </w:r>
          <w:r>
            <w:fldChar w:fldCharType="end"/>
          </w:r>
        </w:p>
        <w:p w:rsidR="00E952EC" w:rsidRDefault="00BC4B5C">
          <w:pPr>
            <w:tabs>
              <w:tab w:val="right" w:pos="9025"/>
            </w:tabs>
            <w:spacing w:before="60" w:line="240" w:lineRule="auto"/>
            <w:ind w:left="360"/>
            <w:rPr>
              <w:color w:val="000000"/>
            </w:rPr>
          </w:pPr>
          <w:hyperlink w:anchor="_cow2tvo1tjt4">
            <w:r w:rsidR="00EE0C3B">
              <w:rPr>
                <w:color w:val="000000"/>
              </w:rPr>
              <w:t>8. Controllo dell'efficacia dei trattamenti</w:t>
            </w:r>
          </w:hyperlink>
          <w:r w:rsidR="00EE0C3B">
            <w:rPr>
              <w:color w:val="000000"/>
            </w:rPr>
            <w:tab/>
          </w:r>
          <w:r>
            <w:fldChar w:fldCharType="begin"/>
          </w:r>
          <w:r w:rsidR="00EE0C3B">
            <w:instrText xml:space="preserve"> PAGEREF _cow2tvo1tjt4 \h </w:instrText>
          </w:r>
          <w:r>
            <w:fldChar w:fldCharType="separate"/>
          </w:r>
          <w:r w:rsidR="00EE0C3B">
            <w:rPr>
              <w:color w:val="000000"/>
            </w:rPr>
            <w:t>10</w:t>
          </w:r>
          <w:r>
            <w:fldChar w:fldCharType="end"/>
          </w:r>
        </w:p>
        <w:p w:rsidR="00E952EC" w:rsidRDefault="00BC4B5C">
          <w:pPr>
            <w:tabs>
              <w:tab w:val="right" w:pos="9025"/>
            </w:tabs>
            <w:spacing w:before="60" w:line="240" w:lineRule="auto"/>
            <w:ind w:left="360"/>
            <w:rPr>
              <w:color w:val="000000"/>
            </w:rPr>
          </w:pPr>
          <w:hyperlink w:anchor="_ltlbdmw9qhf7">
            <w:r w:rsidR="00EE0C3B">
              <w:rPr>
                <w:color w:val="000000"/>
              </w:rPr>
              <w:t>9. Analisi della situazione epidemiologica con valutazione e monitoraggio del Piano</w:t>
            </w:r>
          </w:hyperlink>
          <w:r w:rsidR="00EE0C3B">
            <w:rPr>
              <w:color w:val="000000"/>
            </w:rPr>
            <w:tab/>
          </w:r>
          <w:r>
            <w:fldChar w:fldCharType="begin"/>
          </w:r>
          <w:r w:rsidR="00EE0C3B">
            <w:instrText xml:space="preserve"> PAGEREF _ltlbdmw9qhf7 \h </w:instrText>
          </w:r>
          <w:r>
            <w:fldChar w:fldCharType="separate"/>
          </w:r>
          <w:r w:rsidR="00EE0C3B">
            <w:rPr>
              <w:color w:val="000000"/>
            </w:rPr>
            <w:t>10</w:t>
          </w:r>
          <w:r>
            <w:fldChar w:fldCharType="end"/>
          </w:r>
        </w:p>
        <w:p w:rsidR="00E952EC" w:rsidRDefault="00BC4B5C">
          <w:pPr>
            <w:tabs>
              <w:tab w:val="right" w:pos="9025"/>
            </w:tabs>
            <w:spacing w:before="200" w:line="240" w:lineRule="auto"/>
            <w:rPr>
              <w:b/>
              <w:color w:val="000000"/>
            </w:rPr>
          </w:pPr>
          <w:hyperlink w:anchor="_5nepp8c7k98j">
            <w:r w:rsidR="00EE0C3B">
              <w:rPr>
                <w:b/>
                <w:color w:val="000000"/>
              </w:rPr>
              <w:t>BIBLIOGRAFIA E RIFERIMENTI</w:t>
            </w:r>
          </w:hyperlink>
          <w:r w:rsidR="00EE0C3B">
            <w:rPr>
              <w:b/>
              <w:color w:val="000000"/>
            </w:rPr>
            <w:tab/>
          </w:r>
          <w:r>
            <w:fldChar w:fldCharType="begin"/>
          </w:r>
          <w:r w:rsidR="00EE0C3B">
            <w:instrText xml:space="preserve"> PAGEREF _5nepp8c7k98j \h </w:instrText>
          </w:r>
          <w:r>
            <w:fldChar w:fldCharType="separate"/>
          </w:r>
          <w:r w:rsidR="00EE0C3B">
            <w:rPr>
              <w:b/>
              <w:color w:val="000000"/>
            </w:rPr>
            <w:t>12</w:t>
          </w:r>
          <w:r>
            <w:fldChar w:fldCharType="end"/>
          </w:r>
        </w:p>
        <w:p w:rsidR="00E952EC" w:rsidRDefault="00BC4B5C">
          <w:pPr>
            <w:tabs>
              <w:tab w:val="right" w:pos="9025"/>
            </w:tabs>
            <w:spacing w:before="200" w:line="240" w:lineRule="auto"/>
            <w:rPr>
              <w:b/>
              <w:color w:val="000000"/>
            </w:rPr>
          </w:pPr>
          <w:hyperlink w:anchor="_djjtvxelqiv">
            <w:r w:rsidR="00EE0C3B">
              <w:rPr>
                <w:b/>
                <w:color w:val="000000"/>
              </w:rPr>
              <w:t>Allegato 1. Approfondimento Epidemiologico West Nile Virus - Agosto 2022</w:t>
            </w:r>
          </w:hyperlink>
          <w:r w:rsidR="00EE0C3B">
            <w:rPr>
              <w:b/>
              <w:color w:val="000000"/>
            </w:rPr>
            <w:tab/>
          </w:r>
          <w:r>
            <w:fldChar w:fldCharType="begin"/>
          </w:r>
          <w:r w:rsidR="00EE0C3B">
            <w:instrText xml:space="preserve"> PAGEREF _djjtvxelqiv \h </w:instrText>
          </w:r>
          <w:r>
            <w:fldChar w:fldCharType="separate"/>
          </w:r>
          <w:r w:rsidR="00EE0C3B">
            <w:rPr>
              <w:b/>
              <w:color w:val="000000"/>
            </w:rPr>
            <w:t>13</w:t>
          </w:r>
          <w:r>
            <w:fldChar w:fldCharType="end"/>
          </w:r>
        </w:p>
        <w:p w:rsidR="00E952EC" w:rsidRDefault="00BC4B5C">
          <w:pPr>
            <w:tabs>
              <w:tab w:val="right" w:pos="9025"/>
            </w:tabs>
            <w:spacing w:before="60" w:line="240" w:lineRule="auto"/>
            <w:ind w:left="360"/>
            <w:rPr>
              <w:color w:val="000000"/>
            </w:rPr>
          </w:pPr>
          <w:hyperlink w:anchor="_87xzjtkp9km8">
            <w:r w:rsidR="00EE0C3B">
              <w:rPr>
                <w:color w:val="000000"/>
              </w:rPr>
              <w:t>Epidemiologia umana</w:t>
            </w:r>
          </w:hyperlink>
          <w:r w:rsidR="00EE0C3B">
            <w:rPr>
              <w:color w:val="000000"/>
            </w:rPr>
            <w:tab/>
          </w:r>
          <w:r>
            <w:fldChar w:fldCharType="begin"/>
          </w:r>
          <w:r w:rsidR="00EE0C3B">
            <w:instrText xml:space="preserve"> PAGEREF _87xzjtkp9km8 \h </w:instrText>
          </w:r>
          <w:r>
            <w:fldChar w:fldCharType="separate"/>
          </w:r>
          <w:r w:rsidR="00EE0C3B">
            <w:rPr>
              <w:color w:val="000000"/>
            </w:rPr>
            <w:t>13</w:t>
          </w:r>
          <w:r>
            <w:fldChar w:fldCharType="end"/>
          </w:r>
        </w:p>
        <w:p w:rsidR="00E952EC" w:rsidRDefault="00BC4B5C">
          <w:pPr>
            <w:tabs>
              <w:tab w:val="right" w:pos="9025"/>
            </w:tabs>
            <w:spacing w:before="60" w:line="240" w:lineRule="auto"/>
            <w:ind w:left="360"/>
            <w:rPr>
              <w:color w:val="000000"/>
            </w:rPr>
          </w:pPr>
          <w:hyperlink w:anchor="_y475jbel5a7">
            <w:r w:rsidR="00EE0C3B">
              <w:rPr>
                <w:color w:val="000000"/>
              </w:rPr>
              <w:t>Epidemiologia entomologica e veterinaria</w:t>
            </w:r>
          </w:hyperlink>
          <w:r w:rsidR="00EE0C3B">
            <w:rPr>
              <w:color w:val="000000"/>
            </w:rPr>
            <w:tab/>
          </w:r>
          <w:r>
            <w:fldChar w:fldCharType="begin"/>
          </w:r>
          <w:r w:rsidR="00EE0C3B">
            <w:instrText xml:space="preserve"> PAGEREF _y475jbel5a7 \h </w:instrText>
          </w:r>
          <w:r>
            <w:fldChar w:fldCharType="separate"/>
          </w:r>
          <w:r w:rsidR="00EE0C3B">
            <w:rPr>
              <w:color w:val="000000"/>
            </w:rPr>
            <w:t>18</w:t>
          </w:r>
          <w:r>
            <w:fldChar w:fldCharType="end"/>
          </w:r>
        </w:p>
        <w:p w:rsidR="00E952EC" w:rsidRDefault="00BC4B5C">
          <w:pPr>
            <w:tabs>
              <w:tab w:val="right" w:pos="9025"/>
            </w:tabs>
            <w:spacing w:before="200" w:line="240" w:lineRule="auto"/>
            <w:rPr>
              <w:b/>
              <w:color w:val="000000"/>
            </w:rPr>
          </w:pPr>
          <w:hyperlink w:anchor="_jwnas6qwpqe">
            <w:r w:rsidR="00EE0C3B">
              <w:rPr>
                <w:b/>
                <w:color w:val="000000"/>
              </w:rPr>
              <w:t>Allegato 2. Indicazioni sulle tipologie di interventi straordinari</w:t>
            </w:r>
          </w:hyperlink>
          <w:r w:rsidR="00EE0C3B">
            <w:rPr>
              <w:b/>
              <w:color w:val="000000"/>
            </w:rPr>
            <w:tab/>
          </w:r>
          <w:r>
            <w:fldChar w:fldCharType="begin"/>
          </w:r>
          <w:r w:rsidR="00EE0C3B">
            <w:instrText xml:space="preserve"> PAGEREF _jwnas6qwpqe \h </w:instrText>
          </w:r>
          <w:r>
            <w:fldChar w:fldCharType="separate"/>
          </w:r>
          <w:r w:rsidR="00EE0C3B">
            <w:rPr>
              <w:b/>
              <w:color w:val="000000"/>
            </w:rPr>
            <w:t>20</w:t>
          </w:r>
          <w:r>
            <w:fldChar w:fldCharType="end"/>
          </w:r>
        </w:p>
        <w:p w:rsidR="00E952EC" w:rsidRDefault="00BC4B5C">
          <w:pPr>
            <w:tabs>
              <w:tab w:val="right" w:pos="9025"/>
            </w:tabs>
            <w:spacing w:before="60" w:line="240" w:lineRule="auto"/>
            <w:ind w:left="360"/>
            <w:rPr>
              <w:color w:val="000000"/>
            </w:rPr>
          </w:pPr>
          <w:hyperlink w:anchor="_7tw527btr8sr">
            <w:r w:rsidR="00EE0C3B">
              <w:rPr>
                <w:color w:val="000000"/>
              </w:rPr>
              <w:t>A. RAFFORZAMENTO MONITORAGGIO EPIDEMIOLOGICO</w:t>
            </w:r>
          </w:hyperlink>
          <w:r w:rsidR="00EE0C3B">
            <w:rPr>
              <w:color w:val="000000"/>
            </w:rPr>
            <w:tab/>
          </w:r>
          <w:r>
            <w:fldChar w:fldCharType="begin"/>
          </w:r>
          <w:r w:rsidR="00EE0C3B">
            <w:instrText xml:space="preserve"> PAGEREF _7tw527btr8sr \h </w:instrText>
          </w:r>
          <w:r>
            <w:fldChar w:fldCharType="separate"/>
          </w:r>
          <w:r w:rsidR="00EE0C3B">
            <w:rPr>
              <w:color w:val="000000"/>
            </w:rPr>
            <w:t>20</w:t>
          </w:r>
          <w:r>
            <w:fldChar w:fldCharType="end"/>
          </w:r>
        </w:p>
        <w:p w:rsidR="00E952EC" w:rsidRDefault="00BC4B5C">
          <w:pPr>
            <w:tabs>
              <w:tab w:val="right" w:pos="9025"/>
            </w:tabs>
            <w:spacing w:before="60" w:line="240" w:lineRule="auto"/>
            <w:ind w:left="360"/>
            <w:rPr>
              <w:color w:val="000000"/>
            </w:rPr>
          </w:pPr>
          <w:hyperlink w:anchor="_yczdjkyxln0e">
            <w:r w:rsidR="00EE0C3B">
              <w:rPr>
                <w:color w:val="000000"/>
              </w:rPr>
              <w:t>B. RAFFORZAMENTO COMUNICAZIONE</w:t>
            </w:r>
          </w:hyperlink>
          <w:r w:rsidR="00EE0C3B">
            <w:rPr>
              <w:color w:val="000000"/>
            </w:rPr>
            <w:tab/>
          </w:r>
          <w:r>
            <w:fldChar w:fldCharType="begin"/>
          </w:r>
          <w:r w:rsidR="00EE0C3B">
            <w:instrText xml:space="preserve"> PAGEREF _yczdjkyxln0e \h </w:instrText>
          </w:r>
          <w:r>
            <w:fldChar w:fldCharType="separate"/>
          </w:r>
          <w:r w:rsidR="00EE0C3B">
            <w:rPr>
              <w:color w:val="000000"/>
            </w:rPr>
            <w:t>20</w:t>
          </w:r>
          <w:r>
            <w:fldChar w:fldCharType="end"/>
          </w:r>
        </w:p>
        <w:p w:rsidR="00E952EC" w:rsidRDefault="00BC4B5C">
          <w:pPr>
            <w:tabs>
              <w:tab w:val="right" w:pos="9025"/>
            </w:tabs>
            <w:spacing w:before="60" w:line="240" w:lineRule="auto"/>
            <w:ind w:left="360"/>
            <w:rPr>
              <w:color w:val="000000"/>
            </w:rPr>
          </w:pPr>
          <w:hyperlink w:anchor="_rbmoa84qm24">
            <w:r w:rsidR="00EE0C3B">
              <w:rPr>
                <w:color w:val="000000"/>
              </w:rPr>
              <w:t>C. RAFFORZAMENTO INTERVENTI ORDINARI DI CONTRASTO AL VETTORE</w:t>
            </w:r>
          </w:hyperlink>
          <w:r w:rsidR="00EE0C3B">
            <w:rPr>
              <w:color w:val="000000"/>
            </w:rPr>
            <w:tab/>
          </w:r>
          <w:r>
            <w:fldChar w:fldCharType="begin"/>
          </w:r>
          <w:r w:rsidR="00EE0C3B">
            <w:instrText xml:space="preserve"> PAGEREF _rbmoa84qm24 \h </w:instrText>
          </w:r>
          <w:r>
            <w:fldChar w:fldCharType="separate"/>
          </w:r>
          <w:r w:rsidR="00EE0C3B">
            <w:rPr>
              <w:color w:val="000000"/>
            </w:rPr>
            <w:t>20</w:t>
          </w:r>
          <w:r>
            <w:fldChar w:fldCharType="end"/>
          </w:r>
        </w:p>
        <w:p w:rsidR="00E952EC" w:rsidRDefault="00BC4B5C">
          <w:pPr>
            <w:tabs>
              <w:tab w:val="right" w:pos="9025"/>
            </w:tabs>
            <w:spacing w:before="60" w:line="240" w:lineRule="auto"/>
            <w:ind w:left="360"/>
            <w:rPr>
              <w:color w:val="000000"/>
            </w:rPr>
          </w:pPr>
          <w:hyperlink w:anchor="_647hsl0eh6k">
            <w:r w:rsidR="00EE0C3B">
              <w:rPr>
                <w:color w:val="000000"/>
              </w:rPr>
              <w:t>D. TRATTAMENTO STRAORDINARIO LARVICIDA</w:t>
            </w:r>
          </w:hyperlink>
          <w:r w:rsidR="00EE0C3B">
            <w:rPr>
              <w:color w:val="000000"/>
            </w:rPr>
            <w:tab/>
          </w:r>
          <w:r>
            <w:fldChar w:fldCharType="begin"/>
          </w:r>
          <w:r w:rsidR="00EE0C3B">
            <w:instrText xml:space="preserve"> PAGEREF _647hsl0eh6k \h </w:instrText>
          </w:r>
          <w:r>
            <w:fldChar w:fldCharType="separate"/>
          </w:r>
          <w:r w:rsidR="00EE0C3B">
            <w:rPr>
              <w:color w:val="000000"/>
            </w:rPr>
            <w:t>21</w:t>
          </w:r>
          <w:r>
            <w:fldChar w:fldCharType="end"/>
          </w:r>
        </w:p>
        <w:p w:rsidR="00E952EC" w:rsidRDefault="00BC4B5C">
          <w:pPr>
            <w:tabs>
              <w:tab w:val="right" w:pos="9025"/>
            </w:tabs>
            <w:spacing w:before="60" w:after="80" w:line="240" w:lineRule="auto"/>
            <w:ind w:left="360"/>
            <w:rPr>
              <w:color w:val="000000"/>
            </w:rPr>
          </w:pPr>
          <w:hyperlink w:anchor="_j29kn7b98zte">
            <w:r w:rsidR="00EE0C3B">
              <w:rPr>
                <w:color w:val="000000"/>
              </w:rPr>
              <w:t>E. TRATTAMENTO STRAORDINARIO ADULTICIDA</w:t>
            </w:r>
          </w:hyperlink>
          <w:r w:rsidR="00EE0C3B">
            <w:rPr>
              <w:color w:val="000000"/>
            </w:rPr>
            <w:tab/>
          </w:r>
          <w:r>
            <w:fldChar w:fldCharType="begin"/>
          </w:r>
          <w:r w:rsidR="00EE0C3B">
            <w:instrText xml:space="preserve"> PAGEREF _j29kn7b98zte \h </w:instrText>
          </w:r>
          <w:r>
            <w:fldChar w:fldCharType="separate"/>
          </w:r>
          <w:r w:rsidR="00EE0C3B">
            <w:rPr>
              <w:color w:val="000000"/>
            </w:rPr>
            <w:t>21</w:t>
          </w:r>
          <w:r>
            <w:fldChar w:fldCharType="end"/>
          </w:r>
          <w:r>
            <w:fldChar w:fldCharType="end"/>
          </w:r>
        </w:p>
      </w:sdtContent>
    </w:sdt>
    <w:p w:rsidR="00E952EC" w:rsidRDefault="00E952EC"/>
    <w:p w:rsidR="00E952EC" w:rsidRDefault="00EE0C3B">
      <w:pPr>
        <w:rPr>
          <w:b/>
          <w:color w:val="3D85C6"/>
          <w:sz w:val="24"/>
          <w:szCs w:val="24"/>
        </w:rPr>
      </w:pPr>
      <w:r>
        <w:br w:type="page"/>
      </w:r>
    </w:p>
    <w:p w:rsidR="00E952EC" w:rsidRDefault="00EE0C3B">
      <w:pPr>
        <w:pStyle w:val="Titolo1"/>
        <w:rPr>
          <w:highlight w:val="yellow"/>
        </w:rPr>
      </w:pPr>
      <w:bookmarkStart w:id="10" w:name="_24vbuogli2mz" w:colFirst="0" w:colLast="0"/>
      <w:bookmarkEnd w:id="10"/>
      <w:r>
        <w:lastRenderedPageBreak/>
        <w:t>CONTESTO E RAZIONALE</w:t>
      </w:r>
    </w:p>
    <w:p w:rsidR="00E952EC" w:rsidRDefault="00E952EC">
      <w:pPr>
        <w:rPr>
          <w:b/>
        </w:rPr>
      </w:pPr>
    </w:p>
    <w:p w:rsidR="00E952EC" w:rsidRDefault="00EE0C3B">
      <w:r>
        <w:t xml:space="preserve">La situazione ambientale e climatica dell’estate 2022 ha determinato un contesto favorevole alla circolazione di West Nile Virus (WNV) a seguito di alcune situazioni favorenti tra cui la riduzione quantitativa dei corpi idrici e della loro portata con formazione di ristagni, avvicinamento delle zanzare alle zone antropizzate per riduzione dei corpi idrici naturali, concentrazione di zanzare e avifauna nei corpi idrici disponibili, condizioni climatiche favorevoli ad un inizio precoce in primavera del ciclo riproduttivo delle zanzare. La stagione attuale inoltre si sta caratterizzando per la contemporanea circolazione di West Nile Virus di lineage 1 e 2. </w:t>
      </w:r>
    </w:p>
    <w:p w:rsidR="00E952EC" w:rsidRDefault="00E952EC"/>
    <w:p w:rsidR="00E952EC" w:rsidRDefault="00EE0C3B">
      <w:r>
        <w:t>Nel corso della presente stagione si sta registrando un numero di casi umani significativamente più alto rispetto al dato storico, con incremento delle forme neuro invasive e un impatto significativo sulla salute delle persone e sul servizio sanitario regionale. È altresì evidente come l’attuale incidenza di forme neuro invasive denota un bacino dell’infezione molto superiore ai casi che si presentano con sintomatologia identificabile. Per le forme febbrili queste sono rappresentative del 20% delle infezioni mentre le forme neuro-invasive  approssimativamente  dell’1%. In allegato (Allegato 1) si riporta un approfondimento sulla situazione epidemiologica attuale evidenziando che sul sito della regione Veneto sono pubblicati periodicamente i bollettini di aggiornamento sulla situazione epidemiologica.</w:t>
      </w:r>
    </w:p>
    <w:p w:rsidR="00E952EC" w:rsidRDefault="00E952EC"/>
    <w:p w:rsidR="00E952EC" w:rsidRDefault="00EE0C3B">
      <w:r>
        <w:t>Visto il trend e la gravità del quadro clinico risulta opportuno intraprendere misure straordinarie di contrasto al vettore attraverso l’utilizzo combinato di più strategie (rafforzamento ulteriore della comunicazione rispetto alla protezione individuale e alle buone pratiche da adottare per ridurre il rischio di infezione anche nelle aree private, intensificazione dei trattamenti larvicidi e adulticidi, rafforzamento della sorveglianza epidemiologica soprattutto sulle forme febbrili oltre che su quelle neuro-invasive).</w:t>
      </w:r>
    </w:p>
    <w:p w:rsidR="00E952EC" w:rsidRDefault="00EE0C3B">
      <w:r>
        <w:t>In particolare, ove previsto dal Piano,</w:t>
      </w:r>
      <w:r>
        <w:rPr>
          <w:b/>
        </w:rPr>
        <w:t xml:space="preserve"> </w:t>
      </w:r>
      <w:r>
        <w:t xml:space="preserve">sarà necessario un rafforzamento della mappatura e valutazione dei fossati che per conformazione, irregolarità nel deflusso delle acque, sviluppo di vegetazione, presenza di fonti di inquinamento organico, risultino favorevoli allo sviluppo di </w:t>
      </w:r>
      <w:r>
        <w:rPr>
          <w:i/>
        </w:rPr>
        <w:t>C. pipiens</w:t>
      </w:r>
      <w:r>
        <w:t>, per poter poi procedere all’intervento straordinario con larvicidi. Evidentemente, tali misure devono essere intraprese con un approccio integrato ed appare importante specificare che il trattamento adulticida, qualora se ne renda necessaria l’adozione, non costituisce di per sé una misura straordinaria a carattere “risolutivo”, bensì costituisce un’integrazione agli altri suddetti approcci (comportamentale, rafforzamento della sorveglianza epidemiologica, trattamento larvicida).</w:t>
      </w:r>
    </w:p>
    <w:p w:rsidR="00E952EC" w:rsidRDefault="00E952EC"/>
    <w:p w:rsidR="00E952EC" w:rsidRDefault="00EE0C3B">
      <w:r>
        <w:t xml:space="preserve">A questo proposito, si sottolinea come l’intervento straordinario con adulticida rappresenti una misura tuttora dibattuta in termini di efficacia spaziale e temporale nell'abbattimento del vettore, a fronte dell’impatto economico ed ambientale e di ciò si è tenuto conto nell’elaborazione delle strategie contenute nelle Linee Operative annualmente aggiornate che sono allineate con il </w:t>
      </w:r>
      <w:r>
        <w:rPr>
          <w:i/>
        </w:rPr>
        <w:t>Piano Nazionale di Prevenzione, Sorveglianza e risposta alle Arbovirosi 2020-2025</w:t>
      </w:r>
      <w:r>
        <w:t xml:space="preserve">, nelle azioni poste in essere nella stagione corrente e nella stesura del presente Piano Straordinario. Tuttavia, le evidenze di letteratura e le raccomandazioni internazionali, in primis quelle fornite dall’ECDC nel documento tecnico </w:t>
      </w:r>
      <w:r>
        <w:rPr>
          <w:i/>
        </w:rPr>
        <w:t>Vector control practices and strategies against West Nile virus</w:t>
      </w:r>
      <w:r>
        <w:rPr>
          <w:i/>
          <w:vertAlign w:val="superscript"/>
        </w:rPr>
        <w:footnoteReference w:id="1"/>
      </w:r>
      <w:r>
        <w:rPr>
          <w:i/>
        </w:rPr>
        <w:t xml:space="preserve"> </w:t>
      </w:r>
      <w:r>
        <w:t>indicano chiaramente che gli interventi larvicidi, pur essendo l’azione primaria (insieme alle strategie di prevenzione e comunicazione alla popolazione), da soli in alcune situazioni potrebbero avere effetti più limitati. L’ECDC raccomanda quindi, nelle situazioni di elevato rischio in cui i trattamenti larvicidi integrati a tutti gli interventi ordinari abbiano fallito nel controllo larvale o comunque abbiamo manifestato un’efficacia parziale nella riduzione del vettore, di integrare l’approccio con altri metodi di contrasto, in primis l’intervento adulticida (</w:t>
      </w:r>
      <w:r>
        <w:rPr>
          <w:i/>
        </w:rPr>
        <w:t>“Other methods in addition to larviciding need to be applied in parallel, including adulticiding interventions, to reduce the risk of WNV. This is especially true when source reduction and larval control have failed or are not feasible”</w:t>
      </w:r>
      <w:r>
        <w:t xml:space="preserve">). </w:t>
      </w:r>
    </w:p>
    <w:p w:rsidR="00E952EC" w:rsidRDefault="00E952EC">
      <w:pPr>
        <w:rPr>
          <w:color w:val="FF0000"/>
        </w:rPr>
      </w:pPr>
    </w:p>
    <w:p w:rsidR="00E952EC" w:rsidRDefault="00EE0C3B">
      <w:pPr>
        <w:rPr>
          <w:b/>
        </w:rPr>
      </w:pPr>
      <w:r>
        <w:lastRenderedPageBreak/>
        <w:t xml:space="preserve">Il Piano e le relative azioni di sanità pubblica, si pongono l’obiettivo di </w:t>
      </w:r>
      <w:r>
        <w:rPr>
          <w:b/>
        </w:rPr>
        <w:t>ridurre il carico di malattia</w:t>
      </w:r>
      <w:r>
        <w:t xml:space="preserve"> (es. ricoveri, accessi in PS, occupazione dei posti letto di terapia intensiva, etc.) </w:t>
      </w:r>
      <w:r>
        <w:rPr>
          <w:b/>
        </w:rPr>
        <w:t>e i casi di infezione nell’uomo</w:t>
      </w:r>
      <w:r>
        <w:t xml:space="preserve"> intervenendo nelle aree a maggior rischio di aggregazione e di presenza di soggetti fragili. </w:t>
      </w:r>
    </w:p>
    <w:p w:rsidR="00E952EC" w:rsidRDefault="00E952EC"/>
    <w:p w:rsidR="00E952EC" w:rsidRDefault="00EE0C3B">
      <w:r>
        <w:t xml:space="preserve">Tutto ciò premesso la Regione del Veneto ha valutato la definizione di un </w:t>
      </w:r>
      <w:r>
        <w:rPr>
          <w:b/>
        </w:rPr>
        <w:t>Piano Straordinario per il contrasto alla diffusione di West Nile Virus</w:t>
      </w:r>
      <w:r>
        <w:t xml:space="preserve"> ad integrazione delle attività già poste in essere in accordo con il </w:t>
      </w:r>
      <w:r>
        <w:rPr>
          <w:i/>
        </w:rPr>
        <w:t>Piano Nazionale di Prevenzione, Sorveglianza e risposta alle Arbovirosi 2020-2025</w:t>
      </w:r>
      <w:r>
        <w:t xml:space="preserve">, con le </w:t>
      </w:r>
      <w:r>
        <w:rPr>
          <w:i/>
        </w:rPr>
        <w:t>Linee operative per la sorveglianza delle Arbovirosi nella Regione del Veneto per l’anno 2022</w:t>
      </w:r>
      <w:r>
        <w:t xml:space="preserve"> e con gli ulteriori interventi già concordati in sede di Tavolo Intersettoriale e di quelli già attuati dalle Aziende ULSS nel corso dei mesi di Luglio e Agosto 2022.</w:t>
      </w:r>
    </w:p>
    <w:p w:rsidR="00E952EC" w:rsidRDefault="00E952EC">
      <w:pPr>
        <w:pStyle w:val="Titolo1"/>
      </w:pPr>
      <w:bookmarkStart w:id="11" w:name="_sjmyr24sysrw" w:colFirst="0" w:colLast="0"/>
      <w:bookmarkEnd w:id="11"/>
    </w:p>
    <w:p w:rsidR="00E952EC" w:rsidRDefault="00E952EC"/>
    <w:p w:rsidR="00E952EC" w:rsidRDefault="00EE0C3B">
      <w:pPr>
        <w:pStyle w:val="Titolo1"/>
      </w:pPr>
      <w:bookmarkStart w:id="12" w:name="_9e08jfqx2lv" w:colFirst="0" w:colLast="0"/>
      <w:bookmarkEnd w:id="12"/>
      <w:r>
        <w:t>OBIETTIVI</w:t>
      </w:r>
    </w:p>
    <w:p w:rsidR="00E952EC" w:rsidRDefault="00E952EC"/>
    <w:p w:rsidR="00E952EC" w:rsidRDefault="00EE0C3B">
      <w:r>
        <w:t xml:space="preserve">Il </w:t>
      </w:r>
      <w:r>
        <w:rPr>
          <w:b/>
        </w:rPr>
        <w:t xml:space="preserve">Piano Straordinario per il contrasto alla diffusione di West Nile Virus </w:t>
      </w:r>
      <w:r>
        <w:t>ha lo scopo generale di limitare l’impatto dell’infezione sul carico di malattia nella popolazione, in un contesto di eccezionale trasmissione di WNV in alcuni territori regionali, attraverso la predisposizione di interventi emergenziali.</w:t>
      </w:r>
    </w:p>
    <w:p w:rsidR="00E952EC" w:rsidRDefault="00E952EC"/>
    <w:p w:rsidR="00E952EC" w:rsidRDefault="00EE0C3B">
      <w:r>
        <w:t>Gli obiettivi specifici del piano risultano pertanto:</w:t>
      </w:r>
    </w:p>
    <w:p w:rsidR="00E952EC" w:rsidRDefault="00EE0C3B">
      <w:pPr>
        <w:numPr>
          <w:ilvl w:val="0"/>
          <w:numId w:val="5"/>
        </w:numPr>
      </w:pPr>
      <w:r>
        <w:t>limitare la diffusione virale in aree ad alto rischio,</w:t>
      </w:r>
    </w:p>
    <w:p w:rsidR="00E952EC" w:rsidRDefault="00EE0C3B">
      <w:pPr>
        <w:numPr>
          <w:ilvl w:val="0"/>
          <w:numId w:val="5"/>
        </w:numPr>
      </w:pPr>
      <w:r>
        <w:t>accrescere la consapevolezza del rischio nella popolazione per adottare tutti i comportamenti individuali utili a prevenire le punture di zanzare contribuendo, anche nel contesto privato, a limitare la diffusione delle zanzare.</w:t>
      </w:r>
    </w:p>
    <w:p w:rsidR="00E952EC" w:rsidRDefault="00EE0C3B">
      <w:pPr>
        <w:numPr>
          <w:ilvl w:val="0"/>
          <w:numId w:val="7"/>
        </w:numPr>
      </w:pPr>
      <w:r>
        <w:t>accrescere la consapevolezza del rischio nella popolazione promuovendo sia l’adozione di corretti per prevenire le punture di zanzare (abbigliamento, uso di zanzariere, repellenti), sia la gestione corretta degli ambienti volta alla rimozione dei fattori che favoriscono la formazione di focolai larvali e il conseguente aumento della densità di vettori.</w:t>
      </w:r>
    </w:p>
    <w:p w:rsidR="00E952EC" w:rsidRDefault="00E952EC">
      <w:pPr>
        <w:ind w:left="720"/>
      </w:pPr>
    </w:p>
    <w:p w:rsidR="00E952EC" w:rsidRDefault="00EE0C3B">
      <w:pPr>
        <w:pStyle w:val="Titolo1"/>
      </w:pPr>
      <w:bookmarkStart w:id="13" w:name="_14m4q0eobo8i" w:colFirst="0" w:colLast="0"/>
      <w:bookmarkEnd w:id="13"/>
      <w:r>
        <w:t>STRATEGIA</w:t>
      </w:r>
    </w:p>
    <w:p w:rsidR="00E952EC" w:rsidRDefault="00E952EC">
      <w:pPr>
        <w:rPr>
          <w:b/>
        </w:rPr>
      </w:pPr>
    </w:p>
    <w:p w:rsidR="00E952EC" w:rsidRDefault="00EE0C3B">
      <w:r>
        <w:t>La Regione del Veneto ha definito una serie di misure straordinarie con il triplice scopo di 1) ridurre ulteriormente la densità dei vettori in grado di trasmettere l’infezione, 2) aumentare la responsabilizzazione ed il forte coordinamento tra tutti gli attori coinvolti nel processo di organizzazione e 3) per promuovere la consapevolezza della popolazione nell’attuazione di tutte le possibili misure di controllo del vettore e di protezione individuale.</w:t>
      </w:r>
    </w:p>
    <w:p w:rsidR="00E952EC" w:rsidRDefault="00EE0C3B">
      <w:r>
        <w:t>Il Piano prevede le seguenti azioni:</w:t>
      </w:r>
    </w:p>
    <w:p w:rsidR="00E952EC" w:rsidRDefault="00EE0C3B">
      <w:pPr>
        <w:numPr>
          <w:ilvl w:val="0"/>
          <w:numId w:val="9"/>
        </w:numPr>
      </w:pPr>
      <w:r>
        <w:t>Estensione rete di diagnostica di laboratorio</w:t>
      </w:r>
    </w:p>
    <w:p w:rsidR="00E952EC" w:rsidRDefault="00EE0C3B">
      <w:pPr>
        <w:numPr>
          <w:ilvl w:val="0"/>
          <w:numId w:val="9"/>
        </w:numPr>
      </w:pPr>
      <w:r>
        <w:t>Rafforzamento del monitoraggio epidemiologico integrato con definizione dello strumento per la valutazione del rischio</w:t>
      </w:r>
    </w:p>
    <w:p w:rsidR="00E952EC" w:rsidRDefault="00EE0C3B">
      <w:pPr>
        <w:numPr>
          <w:ilvl w:val="0"/>
          <w:numId w:val="9"/>
        </w:numPr>
      </w:pPr>
      <w:r>
        <w:t>Mappatura e valutazione del rischio nel territorio regionale</w:t>
      </w:r>
    </w:p>
    <w:p w:rsidR="00E952EC" w:rsidRDefault="00EE0C3B">
      <w:pPr>
        <w:numPr>
          <w:ilvl w:val="0"/>
          <w:numId w:val="9"/>
        </w:numPr>
      </w:pPr>
      <w:r>
        <w:t>Definizione di quali ulteriori interventi effettuare in base al livello di rischio</w:t>
      </w:r>
    </w:p>
    <w:p w:rsidR="00E952EC" w:rsidRDefault="00EE0C3B">
      <w:pPr>
        <w:numPr>
          <w:ilvl w:val="0"/>
          <w:numId w:val="9"/>
        </w:numPr>
      </w:pPr>
      <w:r>
        <w:t>Pianificazione e attuazione degli interventi previsti</w:t>
      </w:r>
    </w:p>
    <w:p w:rsidR="00E952EC" w:rsidRDefault="00EE0C3B">
      <w:pPr>
        <w:numPr>
          <w:ilvl w:val="0"/>
          <w:numId w:val="9"/>
        </w:numPr>
      </w:pPr>
      <w:r>
        <w:t>Ulteriori interventi di comunicazione finalizzata ad accrescere la percezione del rischio sia per adottare misure di protezione individuale che all’adozione di misure di contrasto alla crescita del vettore nel contesto delle aree pubbliche e private</w:t>
      </w:r>
    </w:p>
    <w:p w:rsidR="00E952EC" w:rsidRDefault="00EE0C3B">
      <w:pPr>
        <w:numPr>
          <w:ilvl w:val="0"/>
          <w:numId w:val="9"/>
        </w:numPr>
      </w:pPr>
      <w:r>
        <w:t>Intensificazione del controllo dell'efficacia dei trattamenti effettuati</w:t>
      </w:r>
    </w:p>
    <w:p w:rsidR="00E952EC" w:rsidRDefault="00EE0C3B">
      <w:pPr>
        <w:numPr>
          <w:ilvl w:val="0"/>
          <w:numId w:val="9"/>
        </w:numPr>
      </w:pPr>
      <w:r>
        <w:t>Analisi epidemiologica con valutazione e monitoraggio del Piano</w:t>
      </w:r>
    </w:p>
    <w:p w:rsidR="00E952EC" w:rsidRDefault="00E952EC">
      <w:pPr>
        <w:rPr>
          <w:b/>
        </w:rPr>
      </w:pPr>
    </w:p>
    <w:p w:rsidR="00E952EC" w:rsidRDefault="00E952EC">
      <w:pPr>
        <w:rPr>
          <w:b/>
        </w:rPr>
      </w:pPr>
    </w:p>
    <w:p w:rsidR="00E952EC" w:rsidRDefault="00EE0C3B">
      <w:pPr>
        <w:pStyle w:val="Titolo1"/>
      </w:pPr>
      <w:bookmarkStart w:id="14" w:name="_zs72t8frsjj" w:colFirst="0" w:colLast="0"/>
      <w:bookmarkEnd w:id="14"/>
      <w:r>
        <w:lastRenderedPageBreak/>
        <w:t>ATTORI COINVOLTI</w:t>
      </w:r>
    </w:p>
    <w:p w:rsidR="00E952EC" w:rsidRDefault="00E952EC"/>
    <w:p w:rsidR="00E952EC" w:rsidRDefault="00EE0C3B">
      <w:r>
        <w:t>Il Piano è stato redatto a cura della Direzione Prevenzione Sicurezza Alimentare Veterinaria della Regione del Veneto con il coinvolgimento del Gruppo Regionale Arbovirosi e dell’Istituto Zooprofilattico Sperimentale delle Venezie. La definizione della strategia è stata condivisa con Istituto Superiore di Sanità e Ministero della Salute.</w:t>
      </w:r>
    </w:p>
    <w:p w:rsidR="00E952EC" w:rsidRDefault="00EE0C3B">
      <w:r>
        <w:t xml:space="preserve">La Struttura di riferimento per il coordinamento del </w:t>
      </w:r>
      <w:r>
        <w:rPr>
          <w:b/>
        </w:rPr>
        <w:t>Piano Straordinario per il contrasto alla diffusione di West Nile Virus</w:t>
      </w:r>
      <w:r>
        <w:t xml:space="preserve"> è la Direzione Prevenzione, Sicurezza Alimentare, Veterinaria, Area Sanità e Sociale.</w:t>
      </w:r>
    </w:p>
    <w:p w:rsidR="00E952EC" w:rsidRDefault="00E952EC"/>
    <w:p w:rsidR="00E952EC" w:rsidRDefault="00EE0C3B">
      <w:r>
        <w:t>Fra gli altri attori coinvolti, figurano tutti i componenti del Tavolo intersettoriale regionale (di cui alla DGR 174 del 22.2.2019)  ed in particolare Azienda Zero e le Aziende ULSS del Veneto, i Comuni con particolare riferimento a quelli classificati nei livelli a più alto rischio, eventuali Enti ed Associazioni locali coinvolti in forma attiva o passiva nella lotta al vettore di WNV per causa delle loro attività.</w:t>
      </w:r>
    </w:p>
    <w:p w:rsidR="00E952EC" w:rsidRDefault="00E952EC">
      <w:pPr>
        <w:sectPr w:rsidR="00E952EC">
          <w:footerReference w:type="default" r:id="rId11"/>
          <w:pgSz w:w="11906" w:h="16838"/>
          <w:pgMar w:top="1275" w:right="1440" w:bottom="1440" w:left="1440" w:header="720" w:footer="720" w:gutter="0"/>
          <w:cols w:space="720"/>
        </w:sectPr>
      </w:pPr>
    </w:p>
    <w:p w:rsidR="00E952EC" w:rsidRDefault="00EE0C3B">
      <w:pPr>
        <w:pStyle w:val="Titolo1"/>
      </w:pPr>
      <w:bookmarkStart w:id="15" w:name="_d3u399u6kz3i" w:colFirst="0" w:colLast="0"/>
      <w:bookmarkEnd w:id="15"/>
      <w:r>
        <w:lastRenderedPageBreak/>
        <w:t>PIANO STRAORDINARIO E CRONOPROGRAMMA DI ATTUAZIONE</w:t>
      </w:r>
      <w:r>
        <w:br/>
      </w:r>
    </w:p>
    <w:tbl>
      <w:tblPr>
        <w:tblStyle w:val="a"/>
        <w:tblW w:w="139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1"/>
        <w:gridCol w:w="5627"/>
        <w:gridCol w:w="1635"/>
        <w:gridCol w:w="2761"/>
        <w:gridCol w:w="436"/>
        <w:gridCol w:w="436"/>
        <w:gridCol w:w="436"/>
        <w:gridCol w:w="436"/>
        <w:gridCol w:w="436"/>
        <w:gridCol w:w="436"/>
        <w:gridCol w:w="436"/>
        <w:gridCol w:w="436"/>
      </w:tblGrid>
      <w:tr w:rsidR="00E952EC">
        <w:trPr>
          <w:trHeight w:val="400"/>
        </w:trPr>
        <w:tc>
          <w:tcPr>
            <w:tcW w:w="450" w:type="dxa"/>
            <w:vMerge w:val="restart"/>
            <w:tcBorders>
              <w:top w:val="single" w:sz="8" w:space="0" w:color="434343"/>
              <w:left w:val="single" w:sz="8" w:space="0" w:color="434343"/>
              <w:bottom w:val="single" w:sz="8" w:space="0" w:color="434343"/>
              <w:right w:val="single" w:sz="8" w:space="0" w:color="434343"/>
            </w:tcBorders>
            <w:shd w:val="clear" w:color="auto" w:fill="9FC5E8"/>
            <w:tcMar>
              <w:top w:w="43" w:type="dxa"/>
              <w:left w:w="43" w:type="dxa"/>
              <w:bottom w:w="43" w:type="dxa"/>
              <w:right w:w="43" w:type="dxa"/>
            </w:tcMar>
          </w:tcPr>
          <w:p w:rsidR="00E952EC" w:rsidRDefault="00E952EC">
            <w:pPr>
              <w:widowControl w:val="0"/>
              <w:jc w:val="center"/>
              <w:rPr>
                <w:b/>
                <w:sz w:val="18"/>
                <w:szCs w:val="18"/>
              </w:rPr>
            </w:pPr>
          </w:p>
        </w:tc>
        <w:tc>
          <w:tcPr>
            <w:tcW w:w="5625" w:type="dxa"/>
            <w:vMerge w:val="restart"/>
            <w:tcBorders>
              <w:top w:val="single" w:sz="8" w:space="0" w:color="434343"/>
              <w:left w:val="single" w:sz="8" w:space="0" w:color="434343"/>
              <w:bottom w:val="single" w:sz="8" w:space="0" w:color="434343"/>
              <w:right w:val="single" w:sz="8" w:space="0" w:color="434343"/>
            </w:tcBorders>
            <w:shd w:val="clear" w:color="auto" w:fill="9FC5E8"/>
            <w:tcMar>
              <w:top w:w="43" w:type="dxa"/>
              <w:left w:w="43" w:type="dxa"/>
              <w:bottom w:w="43" w:type="dxa"/>
              <w:right w:w="43" w:type="dxa"/>
            </w:tcMar>
          </w:tcPr>
          <w:p w:rsidR="00E952EC" w:rsidRDefault="00E952EC">
            <w:pPr>
              <w:widowControl w:val="0"/>
              <w:jc w:val="center"/>
              <w:rPr>
                <w:b/>
                <w:sz w:val="18"/>
                <w:szCs w:val="18"/>
              </w:rPr>
            </w:pPr>
          </w:p>
          <w:p w:rsidR="00E952EC" w:rsidRDefault="00EE0C3B">
            <w:pPr>
              <w:widowControl w:val="0"/>
              <w:jc w:val="center"/>
              <w:rPr>
                <w:b/>
                <w:sz w:val="18"/>
                <w:szCs w:val="18"/>
              </w:rPr>
            </w:pPr>
            <w:r>
              <w:rPr>
                <w:b/>
                <w:sz w:val="18"/>
                <w:szCs w:val="18"/>
              </w:rPr>
              <w:t>Azione</w:t>
            </w:r>
          </w:p>
        </w:tc>
        <w:tc>
          <w:tcPr>
            <w:tcW w:w="1635" w:type="dxa"/>
            <w:vMerge w:val="restart"/>
            <w:tcBorders>
              <w:top w:val="single" w:sz="8" w:space="0" w:color="434343"/>
              <w:left w:val="single" w:sz="8" w:space="0" w:color="434343"/>
              <w:bottom w:val="single" w:sz="8" w:space="0" w:color="434343"/>
              <w:right w:val="single" w:sz="8" w:space="0" w:color="434343"/>
            </w:tcBorders>
            <w:shd w:val="clear" w:color="auto" w:fill="9FC5E8"/>
            <w:tcMar>
              <w:top w:w="43" w:type="dxa"/>
              <w:left w:w="43" w:type="dxa"/>
              <w:bottom w:w="43" w:type="dxa"/>
              <w:right w:w="43" w:type="dxa"/>
            </w:tcMar>
          </w:tcPr>
          <w:p w:rsidR="00E952EC" w:rsidRDefault="00E952EC">
            <w:pPr>
              <w:widowControl w:val="0"/>
              <w:jc w:val="center"/>
              <w:rPr>
                <w:b/>
                <w:sz w:val="18"/>
                <w:szCs w:val="18"/>
              </w:rPr>
            </w:pPr>
          </w:p>
          <w:p w:rsidR="00E952EC" w:rsidRDefault="00EE0C3B">
            <w:pPr>
              <w:widowControl w:val="0"/>
              <w:jc w:val="center"/>
              <w:rPr>
                <w:b/>
                <w:sz w:val="18"/>
                <w:szCs w:val="18"/>
              </w:rPr>
            </w:pPr>
            <w:r>
              <w:rPr>
                <w:b/>
                <w:sz w:val="18"/>
                <w:szCs w:val="18"/>
              </w:rPr>
              <w:t>Referente</w:t>
            </w:r>
          </w:p>
        </w:tc>
        <w:tc>
          <w:tcPr>
            <w:tcW w:w="2760" w:type="dxa"/>
            <w:vMerge w:val="restart"/>
            <w:tcBorders>
              <w:top w:val="single" w:sz="8" w:space="0" w:color="434343"/>
              <w:left w:val="single" w:sz="8" w:space="0" w:color="434343"/>
              <w:bottom w:val="single" w:sz="8" w:space="0" w:color="434343"/>
              <w:right w:val="single" w:sz="8" w:space="0" w:color="434343"/>
            </w:tcBorders>
            <w:shd w:val="clear" w:color="auto" w:fill="9FC5E8"/>
            <w:tcMar>
              <w:top w:w="43" w:type="dxa"/>
              <w:left w:w="43" w:type="dxa"/>
              <w:bottom w:w="43" w:type="dxa"/>
              <w:right w:w="43" w:type="dxa"/>
            </w:tcMar>
          </w:tcPr>
          <w:p w:rsidR="00E952EC" w:rsidRDefault="00E952EC">
            <w:pPr>
              <w:widowControl w:val="0"/>
              <w:jc w:val="center"/>
              <w:rPr>
                <w:b/>
                <w:sz w:val="18"/>
                <w:szCs w:val="18"/>
              </w:rPr>
            </w:pPr>
          </w:p>
          <w:p w:rsidR="00E952EC" w:rsidRDefault="00EE0C3B">
            <w:pPr>
              <w:widowControl w:val="0"/>
              <w:jc w:val="center"/>
              <w:rPr>
                <w:b/>
                <w:sz w:val="18"/>
                <w:szCs w:val="18"/>
              </w:rPr>
            </w:pPr>
            <w:r>
              <w:rPr>
                <w:b/>
                <w:sz w:val="18"/>
                <w:szCs w:val="18"/>
              </w:rPr>
              <w:t>Soggetti coinvolti</w:t>
            </w:r>
          </w:p>
        </w:tc>
        <w:tc>
          <w:tcPr>
            <w:tcW w:w="1744" w:type="dxa"/>
            <w:gridSpan w:val="4"/>
            <w:tcBorders>
              <w:top w:val="single" w:sz="8" w:space="0" w:color="434343"/>
              <w:left w:val="single" w:sz="8" w:space="0" w:color="434343"/>
              <w:bottom w:val="single" w:sz="8" w:space="0" w:color="434343"/>
              <w:right w:val="single" w:sz="8" w:space="0" w:color="434343"/>
            </w:tcBorders>
            <w:shd w:val="clear" w:color="auto" w:fill="9FC5E8"/>
            <w:tcMar>
              <w:top w:w="43" w:type="dxa"/>
              <w:left w:w="43" w:type="dxa"/>
              <w:bottom w:w="43" w:type="dxa"/>
              <w:right w:w="43" w:type="dxa"/>
            </w:tcMar>
          </w:tcPr>
          <w:p w:rsidR="00E952EC" w:rsidRDefault="00EE0C3B">
            <w:pPr>
              <w:widowControl w:val="0"/>
              <w:pBdr>
                <w:top w:val="nil"/>
                <w:left w:val="nil"/>
                <w:bottom w:val="nil"/>
                <w:right w:val="nil"/>
                <w:between w:val="nil"/>
              </w:pBdr>
              <w:jc w:val="center"/>
              <w:rPr>
                <w:b/>
                <w:sz w:val="18"/>
                <w:szCs w:val="18"/>
              </w:rPr>
            </w:pPr>
            <w:r>
              <w:rPr>
                <w:b/>
                <w:sz w:val="18"/>
                <w:szCs w:val="18"/>
              </w:rPr>
              <w:t>AGOSTO</w:t>
            </w:r>
          </w:p>
        </w:tc>
        <w:tc>
          <w:tcPr>
            <w:tcW w:w="1744" w:type="dxa"/>
            <w:gridSpan w:val="4"/>
            <w:tcBorders>
              <w:top w:val="single" w:sz="8" w:space="0" w:color="434343"/>
              <w:left w:val="single" w:sz="8" w:space="0" w:color="434343"/>
              <w:bottom w:val="single" w:sz="8" w:space="0" w:color="434343"/>
              <w:right w:val="single" w:sz="8" w:space="0" w:color="434343"/>
            </w:tcBorders>
            <w:shd w:val="clear" w:color="auto" w:fill="9FC5E8"/>
            <w:tcMar>
              <w:top w:w="43" w:type="dxa"/>
              <w:left w:w="43" w:type="dxa"/>
              <w:bottom w:w="43" w:type="dxa"/>
              <w:right w:w="43" w:type="dxa"/>
            </w:tcMar>
          </w:tcPr>
          <w:p w:rsidR="00E952EC" w:rsidRDefault="00EE0C3B">
            <w:pPr>
              <w:widowControl w:val="0"/>
              <w:pBdr>
                <w:top w:val="nil"/>
                <w:left w:val="nil"/>
                <w:bottom w:val="nil"/>
                <w:right w:val="nil"/>
                <w:between w:val="nil"/>
              </w:pBdr>
              <w:jc w:val="center"/>
              <w:rPr>
                <w:b/>
                <w:sz w:val="18"/>
                <w:szCs w:val="18"/>
              </w:rPr>
            </w:pPr>
            <w:r>
              <w:rPr>
                <w:b/>
                <w:sz w:val="18"/>
                <w:szCs w:val="18"/>
              </w:rPr>
              <w:t>SETTEMBRE</w:t>
            </w:r>
          </w:p>
        </w:tc>
      </w:tr>
      <w:tr w:rsidR="00E952EC">
        <w:trPr>
          <w:trHeight w:val="400"/>
        </w:trPr>
        <w:tc>
          <w:tcPr>
            <w:tcW w:w="450" w:type="dxa"/>
            <w:vMerge/>
            <w:tcBorders>
              <w:top w:val="single" w:sz="8" w:space="0" w:color="434343"/>
              <w:left w:val="single" w:sz="8" w:space="0" w:color="434343"/>
              <w:bottom w:val="single" w:sz="8" w:space="0" w:color="434343"/>
              <w:right w:val="single" w:sz="8" w:space="0" w:color="434343"/>
            </w:tcBorders>
            <w:shd w:val="clear" w:color="auto" w:fill="9FC5E8"/>
            <w:tcMar>
              <w:top w:w="43" w:type="dxa"/>
              <w:left w:w="43" w:type="dxa"/>
              <w:bottom w:w="43" w:type="dxa"/>
              <w:right w:w="43" w:type="dxa"/>
            </w:tcMar>
          </w:tcPr>
          <w:p w:rsidR="00E952EC" w:rsidRDefault="00E952EC">
            <w:pPr>
              <w:widowControl w:val="0"/>
              <w:pBdr>
                <w:top w:val="nil"/>
                <w:left w:val="nil"/>
                <w:bottom w:val="nil"/>
                <w:right w:val="nil"/>
                <w:between w:val="nil"/>
              </w:pBdr>
              <w:jc w:val="center"/>
              <w:rPr>
                <w:b/>
              </w:rPr>
            </w:pPr>
          </w:p>
        </w:tc>
        <w:tc>
          <w:tcPr>
            <w:tcW w:w="5625" w:type="dxa"/>
            <w:vMerge/>
            <w:tcBorders>
              <w:top w:val="single" w:sz="8" w:space="0" w:color="434343"/>
              <w:left w:val="single" w:sz="8" w:space="0" w:color="434343"/>
              <w:bottom w:val="single" w:sz="8" w:space="0" w:color="434343"/>
              <w:right w:val="single" w:sz="8" w:space="0" w:color="434343"/>
            </w:tcBorders>
            <w:shd w:val="clear" w:color="auto" w:fill="9FC5E8"/>
            <w:tcMar>
              <w:top w:w="43" w:type="dxa"/>
              <w:left w:w="43" w:type="dxa"/>
              <w:bottom w:w="43" w:type="dxa"/>
              <w:right w:w="43" w:type="dxa"/>
            </w:tcMar>
          </w:tcPr>
          <w:p w:rsidR="00E952EC" w:rsidRDefault="00E952EC">
            <w:pPr>
              <w:widowControl w:val="0"/>
              <w:pBdr>
                <w:top w:val="nil"/>
                <w:left w:val="nil"/>
                <w:bottom w:val="nil"/>
                <w:right w:val="nil"/>
                <w:between w:val="nil"/>
              </w:pBdr>
              <w:jc w:val="center"/>
              <w:rPr>
                <w:b/>
              </w:rPr>
            </w:pPr>
          </w:p>
        </w:tc>
        <w:tc>
          <w:tcPr>
            <w:tcW w:w="1635" w:type="dxa"/>
            <w:vMerge/>
            <w:tcBorders>
              <w:top w:val="single" w:sz="8" w:space="0" w:color="434343"/>
              <w:left w:val="single" w:sz="8" w:space="0" w:color="434343"/>
              <w:bottom w:val="single" w:sz="8" w:space="0" w:color="434343"/>
              <w:right w:val="single" w:sz="8" w:space="0" w:color="434343"/>
            </w:tcBorders>
            <w:shd w:val="clear" w:color="auto" w:fill="9FC5E8"/>
            <w:tcMar>
              <w:top w:w="43" w:type="dxa"/>
              <w:left w:w="43" w:type="dxa"/>
              <w:bottom w:w="43" w:type="dxa"/>
              <w:right w:w="43" w:type="dxa"/>
            </w:tcMar>
          </w:tcPr>
          <w:p w:rsidR="00E952EC" w:rsidRDefault="00E952EC">
            <w:pPr>
              <w:widowControl w:val="0"/>
              <w:pBdr>
                <w:top w:val="nil"/>
                <w:left w:val="nil"/>
                <w:bottom w:val="nil"/>
                <w:right w:val="nil"/>
                <w:between w:val="nil"/>
              </w:pBdr>
              <w:jc w:val="center"/>
              <w:rPr>
                <w:b/>
              </w:rPr>
            </w:pPr>
          </w:p>
        </w:tc>
        <w:tc>
          <w:tcPr>
            <w:tcW w:w="2760" w:type="dxa"/>
            <w:vMerge/>
            <w:tcBorders>
              <w:top w:val="single" w:sz="8" w:space="0" w:color="434343"/>
              <w:left w:val="single" w:sz="8" w:space="0" w:color="434343"/>
              <w:bottom w:val="single" w:sz="8" w:space="0" w:color="434343"/>
              <w:right w:val="single" w:sz="8" w:space="0" w:color="434343"/>
            </w:tcBorders>
            <w:shd w:val="clear" w:color="auto" w:fill="9FC5E8"/>
            <w:tcMar>
              <w:top w:w="43" w:type="dxa"/>
              <w:left w:w="43" w:type="dxa"/>
              <w:bottom w:w="43" w:type="dxa"/>
              <w:right w:w="43" w:type="dxa"/>
            </w:tcMar>
          </w:tcPr>
          <w:p w:rsidR="00E952EC" w:rsidRDefault="00E952EC">
            <w:pPr>
              <w:widowControl w:val="0"/>
              <w:pBdr>
                <w:top w:val="nil"/>
                <w:left w:val="nil"/>
                <w:bottom w:val="nil"/>
                <w:right w:val="nil"/>
                <w:between w:val="nil"/>
              </w:pBdr>
              <w:jc w:val="center"/>
              <w:rPr>
                <w:b/>
              </w:rPr>
            </w:pPr>
          </w:p>
        </w:tc>
        <w:tc>
          <w:tcPr>
            <w:tcW w:w="436" w:type="dxa"/>
            <w:tcBorders>
              <w:top w:val="single" w:sz="8" w:space="0" w:color="434343"/>
              <w:left w:val="single" w:sz="8" w:space="0" w:color="434343"/>
              <w:bottom w:val="single" w:sz="8" w:space="0" w:color="434343"/>
              <w:right w:val="single" w:sz="8" w:space="0" w:color="434343"/>
            </w:tcBorders>
            <w:shd w:val="clear" w:color="auto" w:fill="9FC5E8"/>
            <w:tcMar>
              <w:top w:w="43" w:type="dxa"/>
              <w:left w:w="43" w:type="dxa"/>
              <w:bottom w:w="43" w:type="dxa"/>
              <w:right w:w="43" w:type="dxa"/>
            </w:tcMar>
          </w:tcPr>
          <w:p w:rsidR="00E952EC" w:rsidRDefault="00EE0C3B">
            <w:pPr>
              <w:widowControl w:val="0"/>
              <w:pBdr>
                <w:top w:val="nil"/>
                <w:left w:val="nil"/>
                <w:bottom w:val="nil"/>
                <w:right w:val="nil"/>
                <w:between w:val="nil"/>
              </w:pBdr>
              <w:jc w:val="center"/>
              <w:rPr>
                <w:b/>
                <w:sz w:val="18"/>
                <w:szCs w:val="18"/>
              </w:rPr>
            </w:pPr>
            <w:r>
              <w:rPr>
                <w:b/>
                <w:sz w:val="18"/>
                <w:szCs w:val="18"/>
              </w:rPr>
              <w:t>I</w:t>
            </w:r>
          </w:p>
        </w:tc>
        <w:tc>
          <w:tcPr>
            <w:tcW w:w="436" w:type="dxa"/>
            <w:tcBorders>
              <w:top w:val="single" w:sz="8" w:space="0" w:color="434343"/>
              <w:left w:val="single" w:sz="8" w:space="0" w:color="434343"/>
              <w:bottom w:val="single" w:sz="8" w:space="0" w:color="434343"/>
              <w:right w:val="single" w:sz="8" w:space="0" w:color="434343"/>
            </w:tcBorders>
            <w:shd w:val="clear" w:color="auto" w:fill="9FC5E8"/>
            <w:tcMar>
              <w:top w:w="43" w:type="dxa"/>
              <w:left w:w="43" w:type="dxa"/>
              <w:bottom w:w="43" w:type="dxa"/>
              <w:right w:w="43" w:type="dxa"/>
            </w:tcMar>
          </w:tcPr>
          <w:p w:rsidR="00E952EC" w:rsidRDefault="00EE0C3B">
            <w:pPr>
              <w:widowControl w:val="0"/>
              <w:pBdr>
                <w:top w:val="nil"/>
                <w:left w:val="nil"/>
                <w:bottom w:val="nil"/>
                <w:right w:val="nil"/>
                <w:between w:val="nil"/>
              </w:pBdr>
              <w:jc w:val="center"/>
              <w:rPr>
                <w:b/>
                <w:sz w:val="18"/>
                <w:szCs w:val="18"/>
              </w:rPr>
            </w:pPr>
            <w:r>
              <w:rPr>
                <w:b/>
                <w:sz w:val="18"/>
                <w:szCs w:val="18"/>
              </w:rPr>
              <w:t>II</w:t>
            </w:r>
          </w:p>
        </w:tc>
        <w:tc>
          <w:tcPr>
            <w:tcW w:w="436" w:type="dxa"/>
            <w:tcBorders>
              <w:top w:val="single" w:sz="8" w:space="0" w:color="434343"/>
              <w:left w:val="single" w:sz="8" w:space="0" w:color="434343"/>
              <w:bottom w:val="single" w:sz="8" w:space="0" w:color="434343"/>
              <w:right w:val="single" w:sz="8" w:space="0" w:color="434343"/>
            </w:tcBorders>
            <w:shd w:val="clear" w:color="auto" w:fill="9FC5E8"/>
            <w:tcMar>
              <w:top w:w="43" w:type="dxa"/>
              <w:left w:w="43" w:type="dxa"/>
              <w:bottom w:w="43" w:type="dxa"/>
              <w:right w:w="43" w:type="dxa"/>
            </w:tcMar>
          </w:tcPr>
          <w:p w:rsidR="00E952EC" w:rsidRDefault="00EE0C3B">
            <w:pPr>
              <w:widowControl w:val="0"/>
              <w:pBdr>
                <w:top w:val="nil"/>
                <w:left w:val="nil"/>
                <w:bottom w:val="nil"/>
                <w:right w:val="nil"/>
                <w:between w:val="nil"/>
              </w:pBdr>
              <w:jc w:val="center"/>
              <w:rPr>
                <w:b/>
                <w:sz w:val="18"/>
                <w:szCs w:val="18"/>
              </w:rPr>
            </w:pPr>
            <w:r>
              <w:rPr>
                <w:b/>
                <w:sz w:val="18"/>
                <w:szCs w:val="18"/>
              </w:rPr>
              <w:t>III</w:t>
            </w:r>
          </w:p>
        </w:tc>
        <w:tc>
          <w:tcPr>
            <w:tcW w:w="436" w:type="dxa"/>
            <w:tcBorders>
              <w:top w:val="single" w:sz="8" w:space="0" w:color="434343"/>
              <w:left w:val="single" w:sz="8" w:space="0" w:color="434343"/>
              <w:bottom w:val="single" w:sz="8" w:space="0" w:color="434343"/>
              <w:right w:val="single" w:sz="8" w:space="0" w:color="434343"/>
            </w:tcBorders>
            <w:shd w:val="clear" w:color="auto" w:fill="9FC5E8"/>
            <w:tcMar>
              <w:top w:w="43" w:type="dxa"/>
              <w:left w:w="43" w:type="dxa"/>
              <w:bottom w:w="43" w:type="dxa"/>
              <w:right w:w="43" w:type="dxa"/>
            </w:tcMar>
          </w:tcPr>
          <w:p w:rsidR="00E952EC" w:rsidRDefault="00EE0C3B">
            <w:pPr>
              <w:widowControl w:val="0"/>
              <w:pBdr>
                <w:top w:val="nil"/>
                <w:left w:val="nil"/>
                <w:bottom w:val="nil"/>
                <w:right w:val="nil"/>
                <w:between w:val="nil"/>
              </w:pBdr>
              <w:jc w:val="center"/>
              <w:rPr>
                <w:b/>
                <w:sz w:val="18"/>
                <w:szCs w:val="18"/>
              </w:rPr>
            </w:pPr>
            <w:r>
              <w:rPr>
                <w:b/>
                <w:sz w:val="18"/>
                <w:szCs w:val="18"/>
              </w:rPr>
              <w:t>IV</w:t>
            </w:r>
          </w:p>
        </w:tc>
        <w:tc>
          <w:tcPr>
            <w:tcW w:w="436" w:type="dxa"/>
            <w:tcBorders>
              <w:top w:val="single" w:sz="8" w:space="0" w:color="434343"/>
              <w:left w:val="single" w:sz="8" w:space="0" w:color="434343"/>
              <w:bottom w:val="single" w:sz="8" w:space="0" w:color="434343"/>
              <w:right w:val="single" w:sz="8" w:space="0" w:color="434343"/>
            </w:tcBorders>
            <w:shd w:val="clear" w:color="auto" w:fill="9FC5E8"/>
            <w:tcMar>
              <w:top w:w="43" w:type="dxa"/>
              <w:left w:w="43" w:type="dxa"/>
              <w:bottom w:w="43" w:type="dxa"/>
              <w:right w:w="43" w:type="dxa"/>
            </w:tcMar>
          </w:tcPr>
          <w:p w:rsidR="00E952EC" w:rsidRDefault="00EE0C3B">
            <w:pPr>
              <w:widowControl w:val="0"/>
              <w:jc w:val="center"/>
              <w:rPr>
                <w:b/>
                <w:sz w:val="18"/>
                <w:szCs w:val="18"/>
              </w:rPr>
            </w:pPr>
            <w:r>
              <w:rPr>
                <w:b/>
                <w:sz w:val="18"/>
                <w:szCs w:val="18"/>
              </w:rPr>
              <w:t>I</w:t>
            </w:r>
          </w:p>
        </w:tc>
        <w:tc>
          <w:tcPr>
            <w:tcW w:w="436" w:type="dxa"/>
            <w:tcBorders>
              <w:top w:val="single" w:sz="8" w:space="0" w:color="434343"/>
              <w:left w:val="single" w:sz="8" w:space="0" w:color="434343"/>
              <w:bottom w:val="single" w:sz="8" w:space="0" w:color="434343"/>
              <w:right w:val="single" w:sz="8" w:space="0" w:color="434343"/>
            </w:tcBorders>
            <w:shd w:val="clear" w:color="auto" w:fill="9FC5E8"/>
            <w:tcMar>
              <w:top w:w="43" w:type="dxa"/>
              <w:left w:w="43" w:type="dxa"/>
              <w:bottom w:w="43" w:type="dxa"/>
              <w:right w:w="43" w:type="dxa"/>
            </w:tcMar>
          </w:tcPr>
          <w:p w:rsidR="00E952EC" w:rsidRDefault="00EE0C3B">
            <w:pPr>
              <w:widowControl w:val="0"/>
              <w:jc w:val="center"/>
              <w:rPr>
                <w:b/>
                <w:sz w:val="18"/>
                <w:szCs w:val="18"/>
              </w:rPr>
            </w:pPr>
            <w:r>
              <w:rPr>
                <w:b/>
                <w:sz w:val="18"/>
                <w:szCs w:val="18"/>
              </w:rPr>
              <w:t>II</w:t>
            </w:r>
          </w:p>
        </w:tc>
        <w:tc>
          <w:tcPr>
            <w:tcW w:w="436" w:type="dxa"/>
            <w:tcBorders>
              <w:top w:val="single" w:sz="8" w:space="0" w:color="434343"/>
              <w:left w:val="single" w:sz="8" w:space="0" w:color="434343"/>
              <w:bottom w:val="single" w:sz="8" w:space="0" w:color="434343"/>
              <w:right w:val="single" w:sz="8" w:space="0" w:color="434343"/>
            </w:tcBorders>
            <w:shd w:val="clear" w:color="auto" w:fill="9FC5E8"/>
            <w:tcMar>
              <w:top w:w="43" w:type="dxa"/>
              <w:left w:w="43" w:type="dxa"/>
              <w:bottom w:w="43" w:type="dxa"/>
              <w:right w:w="43" w:type="dxa"/>
            </w:tcMar>
          </w:tcPr>
          <w:p w:rsidR="00E952EC" w:rsidRDefault="00EE0C3B">
            <w:pPr>
              <w:widowControl w:val="0"/>
              <w:jc w:val="center"/>
              <w:rPr>
                <w:b/>
                <w:sz w:val="18"/>
                <w:szCs w:val="18"/>
              </w:rPr>
            </w:pPr>
            <w:r>
              <w:rPr>
                <w:b/>
                <w:sz w:val="18"/>
                <w:szCs w:val="18"/>
              </w:rPr>
              <w:t>III</w:t>
            </w:r>
          </w:p>
        </w:tc>
        <w:tc>
          <w:tcPr>
            <w:tcW w:w="436" w:type="dxa"/>
            <w:tcBorders>
              <w:top w:val="single" w:sz="8" w:space="0" w:color="434343"/>
              <w:left w:val="single" w:sz="8" w:space="0" w:color="434343"/>
              <w:bottom w:val="single" w:sz="8" w:space="0" w:color="434343"/>
              <w:right w:val="single" w:sz="8" w:space="0" w:color="434343"/>
            </w:tcBorders>
            <w:shd w:val="clear" w:color="auto" w:fill="9FC5E8"/>
            <w:tcMar>
              <w:top w:w="43" w:type="dxa"/>
              <w:left w:w="43" w:type="dxa"/>
              <w:bottom w:w="43" w:type="dxa"/>
              <w:right w:w="43" w:type="dxa"/>
            </w:tcMar>
          </w:tcPr>
          <w:p w:rsidR="00E952EC" w:rsidRDefault="00EE0C3B">
            <w:pPr>
              <w:widowControl w:val="0"/>
              <w:jc w:val="center"/>
              <w:rPr>
                <w:b/>
                <w:sz w:val="18"/>
                <w:szCs w:val="18"/>
              </w:rPr>
            </w:pPr>
            <w:r>
              <w:rPr>
                <w:b/>
                <w:sz w:val="18"/>
                <w:szCs w:val="18"/>
              </w:rPr>
              <w:t>IV</w:t>
            </w:r>
          </w:p>
        </w:tc>
      </w:tr>
      <w:tr w:rsidR="00E952EC">
        <w:tc>
          <w:tcPr>
            <w:tcW w:w="450"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ind w:left="720"/>
              <w:jc w:val="center"/>
              <w:rPr>
                <w:b/>
                <w:sz w:val="18"/>
                <w:szCs w:val="18"/>
              </w:rPr>
            </w:pPr>
            <w:r>
              <w:rPr>
                <w:b/>
                <w:sz w:val="18"/>
                <w:szCs w:val="18"/>
              </w:rPr>
              <w:t>1</w:t>
            </w:r>
          </w:p>
        </w:tc>
        <w:tc>
          <w:tcPr>
            <w:tcW w:w="5625"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rPr>
                <w:sz w:val="18"/>
                <w:szCs w:val="18"/>
              </w:rPr>
            </w:pPr>
            <w:r>
              <w:rPr>
                <w:sz w:val="18"/>
                <w:szCs w:val="18"/>
              </w:rPr>
              <w:t>Estensione della rete di diagnostica di laboratorio</w:t>
            </w:r>
          </w:p>
        </w:tc>
        <w:tc>
          <w:tcPr>
            <w:tcW w:w="1635"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widowControl w:val="0"/>
              <w:jc w:val="left"/>
              <w:rPr>
                <w:sz w:val="18"/>
                <w:szCs w:val="18"/>
              </w:rPr>
            </w:pPr>
            <w:r>
              <w:rPr>
                <w:sz w:val="18"/>
                <w:szCs w:val="18"/>
              </w:rPr>
              <w:t>Rete Microbiologie</w:t>
            </w:r>
          </w:p>
        </w:tc>
        <w:tc>
          <w:tcPr>
            <w:tcW w:w="2760"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widowControl w:val="0"/>
              <w:numPr>
                <w:ilvl w:val="0"/>
                <w:numId w:val="1"/>
              </w:numPr>
              <w:ind w:left="283" w:hanging="141"/>
              <w:jc w:val="left"/>
              <w:rPr>
                <w:sz w:val="18"/>
                <w:szCs w:val="18"/>
              </w:rPr>
            </w:pPr>
            <w:r>
              <w:rPr>
                <w:sz w:val="18"/>
                <w:szCs w:val="18"/>
              </w:rPr>
              <w:t>Laboratorio Regionale di Riferimento</w:t>
            </w:r>
          </w:p>
          <w:p w:rsidR="00E952EC" w:rsidRDefault="00EE0C3B">
            <w:pPr>
              <w:widowControl w:val="0"/>
              <w:numPr>
                <w:ilvl w:val="0"/>
                <w:numId w:val="1"/>
              </w:numPr>
              <w:ind w:left="283" w:hanging="141"/>
              <w:jc w:val="left"/>
              <w:rPr>
                <w:sz w:val="18"/>
                <w:szCs w:val="18"/>
              </w:rPr>
            </w:pPr>
            <w:r>
              <w:rPr>
                <w:sz w:val="18"/>
                <w:szCs w:val="18"/>
              </w:rPr>
              <w:t>Laboratori di Microbiologia</w:t>
            </w: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r>
      <w:tr w:rsidR="00E952EC">
        <w:tc>
          <w:tcPr>
            <w:tcW w:w="450"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ind w:left="720"/>
              <w:jc w:val="center"/>
              <w:rPr>
                <w:b/>
                <w:sz w:val="18"/>
                <w:szCs w:val="18"/>
              </w:rPr>
            </w:pPr>
            <w:r>
              <w:rPr>
                <w:b/>
                <w:sz w:val="18"/>
                <w:szCs w:val="18"/>
              </w:rPr>
              <w:t>2</w:t>
            </w:r>
          </w:p>
        </w:tc>
        <w:tc>
          <w:tcPr>
            <w:tcW w:w="5625"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rPr>
                <w:sz w:val="18"/>
                <w:szCs w:val="18"/>
              </w:rPr>
            </w:pPr>
            <w:r>
              <w:rPr>
                <w:sz w:val="18"/>
                <w:szCs w:val="18"/>
              </w:rPr>
              <w:t>Rafforzamento del monitoraggio epidemiologico integrato con definizione dello strumento per la valutazione del rischio</w:t>
            </w:r>
          </w:p>
        </w:tc>
        <w:tc>
          <w:tcPr>
            <w:tcW w:w="1635"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widowControl w:val="0"/>
              <w:jc w:val="left"/>
              <w:rPr>
                <w:sz w:val="18"/>
                <w:szCs w:val="18"/>
              </w:rPr>
            </w:pPr>
            <w:r>
              <w:rPr>
                <w:sz w:val="18"/>
                <w:szCs w:val="18"/>
              </w:rPr>
              <w:t>Gruppo Regionale Arbovirosi</w:t>
            </w:r>
          </w:p>
        </w:tc>
        <w:tc>
          <w:tcPr>
            <w:tcW w:w="2760"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widowControl w:val="0"/>
              <w:numPr>
                <w:ilvl w:val="0"/>
                <w:numId w:val="4"/>
              </w:numPr>
              <w:ind w:left="283" w:hanging="141"/>
              <w:rPr>
                <w:sz w:val="18"/>
                <w:szCs w:val="18"/>
              </w:rPr>
            </w:pPr>
            <w:r>
              <w:rPr>
                <w:sz w:val="18"/>
                <w:szCs w:val="18"/>
              </w:rPr>
              <w:t>IZSVe</w:t>
            </w:r>
          </w:p>
          <w:p w:rsidR="00E952EC" w:rsidRDefault="00EE0C3B">
            <w:pPr>
              <w:widowControl w:val="0"/>
              <w:numPr>
                <w:ilvl w:val="0"/>
                <w:numId w:val="4"/>
              </w:numPr>
              <w:ind w:left="283" w:hanging="141"/>
              <w:rPr>
                <w:sz w:val="18"/>
                <w:szCs w:val="18"/>
              </w:rPr>
            </w:pPr>
            <w:r>
              <w:rPr>
                <w:sz w:val="18"/>
                <w:szCs w:val="18"/>
              </w:rPr>
              <w:t>ISS</w:t>
            </w:r>
          </w:p>
          <w:p w:rsidR="00E952EC" w:rsidRDefault="00EE0C3B">
            <w:pPr>
              <w:widowControl w:val="0"/>
              <w:numPr>
                <w:ilvl w:val="0"/>
                <w:numId w:val="4"/>
              </w:numPr>
              <w:ind w:left="283" w:hanging="141"/>
              <w:rPr>
                <w:sz w:val="18"/>
                <w:szCs w:val="18"/>
              </w:rPr>
            </w:pPr>
            <w:r>
              <w:rPr>
                <w:sz w:val="18"/>
                <w:szCs w:val="18"/>
              </w:rPr>
              <w:t>Ministero della Salute</w:t>
            </w: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r>
      <w:tr w:rsidR="00E952EC">
        <w:tc>
          <w:tcPr>
            <w:tcW w:w="450"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ind w:left="720"/>
              <w:jc w:val="center"/>
              <w:rPr>
                <w:b/>
                <w:sz w:val="18"/>
                <w:szCs w:val="18"/>
              </w:rPr>
            </w:pPr>
            <w:r>
              <w:rPr>
                <w:b/>
                <w:sz w:val="18"/>
                <w:szCs w:val="18"/>
              </w:rPr>
              <w:t>3</w:t>
            </w:r>
          </w:p>
        </w:tc>
        <w:tc>
          <w:tcPr>
            <w:tcW w:w="5625"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rPr>
                <w:sz w:val="18"/>
                <w:szCs w:val="18"/>
              </w:rPr>
            </w:pPr>
            <w:r>
              <w:rPr>
                <w:sz w:val="18"/>
                <w:szCs w:val="18"/>
              </w:rPr>
              <w:t>Mappatura e valutazione del rischio nel territorio regionale</w:t>
            </w:r>
          </w:p>
          <w:p w:rsidR="00E952EC" w:rsidRDefault="00EE0C3B">
            <w:pPr>
              <w:rPr>
                <w:sz w:val="18"/>
                <w:szCs w:val="18"/>
              </w:rPr>
            </w:pPr>
            <w:r>
              <w:rPr>
                <w:sz w:val="18"/>
                <w:szCs w:val="18"/>
              </w:rPr>
              <w:t>(utilizzando lo strumento per la valutazione del rischio)</w:t>
            </w:r>
          </w:p>
        </w:tc>
        <w:tc>
          <w:tcPr>
            <w:tcW w:w="1635"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widowControl w:val="0"/>
              <w:pBdr>
                <w:top w:val="nil"/>
                <w:left w:val="nil"/>
                <w:bottom w:val="nil"/>
                <w:right w:val="nil"/>
                <w:between w:val="nil"/>
              </w:pBdr>
              <w:rPr>
                <w:sz w:val="18"/>
                <w:szCs w:val="18"/>
              </w:rPr>
            </w:pPr>
            <w:r>
              <w:rPr>
                <w:sz w:val="18"/>
                <w:szCs w:val="18"/>
              </w:rPr>
              <w:t>Dir. Prev.</w:t>
            </w:r>
          </w:p>
        </w:tc>
        <w:tc>
          <w:tcPr>
            <w:tcW w:w="2760"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widowControl w:val="0"/>
              <w:numPr>
                <w:ilvl w:val="0"/>
                <w:numId w:val="11"/>
              </w:numPr>
              <w:pBdr>
                <w:top w:val="nil"/>
                <w:left w:val="nil"/>
                <w:bottom w:val="nil"/>
                <w:right w:val="nil"/>
                <w:between w:val="nil"/>
              </w:pBdr>
              <w:ind w:left="283" w:hanging="141"/>
              <w:rPr>
                <w:sz w:val="18"/>
                <w:szCs w:val="18"/>
              </w:rPr>
            </w:pPr>
            <w:r>
              <w:rPr>
                <w:sz w:val="18"/>
                <w:szCs w:val="18"/>
              </w:rPr>
              <w:t>IZSVe</w:t>
            </w:r>
          </w:p>
          <w:p w:rsidR="00E952EC" w:rsidRDefault="00EE0C3B">
            <w:pPr>
              <w:widowControl w:val="0"/>
              <w:numPr>
                <w:ilvl w:val="0"/>
                <w:numId w:val="11"/>
              </w:numPr>
              <w:pBdr>
                <w:top w:val="nil"/>
                <w:left w:val="nil"/>
                <w:bottom w:val="nil"/>
                <w:right w:val="nil"/>
                <w:between w:val="nil"/>
              </w:pBdr>
              <w:ind w:left="283" w:hanging="141"/>
              <w:rPr>
                <w:sz w:val="18"/>
                <w:szCs w:val="18"/>
              </w:rPr>
            </w:pPr>
            <w:r>
              <w:rPr>
                <w:sz w:val="18"/>
                <w:szCs w:val="18"/>
              </w:rPr>
              <w:t>ULSS e Aziende Ospedaliere</w:t>
            </w: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highlight w:val="white"/>
              </w:rPr>
            </w:pPr>
          </w:p>
        </w:tc>
      </w:tr>
      <w:tr w:rsidR="00E952EC">
        <w:tc>
          <w:tcPr>
            <w:tcW w:w="450"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ind w:left="720"/>
              <w:jc w:val="center"/>
              <w:rPr>
                <w:b/>
                <w:sz w:val="18"/>
                <w:szCs w:val="18"/>
              </w:rPr>
            </w:pPr>
            <w:r>
              <w:rPr>
                <w:b/>
                <w:sz w:val="18"/>
                <w:szCs w:val="18"/>
              </w:rPr>
              <w:t>4</w:t>
            </w:r>
          </w:p>
        </w:tc>
        <w:tc>
          <w:tcPr>
            <w:tcW w:w="5625"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rPr>
                <w:sz w:val="18"/>
                <w:szCs w:val="18"/>
              </w:rPr>
            </w:pPr>
            <w:r>
              <w:rPr>
                <w:sz w:val="18"/>
                <w:szCs w:val="18"/>
              </w:rPr>
              <w:t>Definizione di quali ulteriori interventi effettuare in base al livello di rischio</w:t>
            </w:r>
          </w:p>
        </w:tc>
        <w:tc>
          <w:tcPr>
            <w:tcW w:w="1635"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widowControl w:val="0"/>
              <w:jc w:val="left"/>
              <w:rPr>
                <w:sz w:val="18"/>
                <w:szCs w:val="18"/>
              </w:rPr>
            </w:pPr>
            <w:r>
              <w:rPr>
                <w:sz w:val="18"/>
                <w:szCs w:val="18"/>
              </w:rPr>
              <w:t>Gruppo Regionale Arbovirosi</w:t>
            </w:r>
          </w:p>
        </w:tc>
        <w:tc>
          <w:tcPr>
            <w:tcW w:w="2760"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widowControl w:val="0"/>
              <w:numPr>
                <w:ilvl w:val="0"/>
                <w:numId w:val="4"/>
              </w:numPr>
              <w:ind w:left="283" w:hanging="141"/>
              <w:rPr>
                <w:sz w:val="18"/>
                <w:szCs w:val="18"/>
              </w:rPr>
            </w:pPr>
            <w:r>
              <w:rPr>
                <w:sz w:val="18"/>
                <w:szCs w:val="18"/>
              </w:rPr>
              <w:t>IZSVe</w:t>
            </w:r>
          </w:p>
          <w:p w:rsidR="00E952EC" w:rsidRDefault="00EE0C3B">
            <w:pPr>
              <w:widowControl w:val="0"/>
              <w:numPr>
                <w:ilvl w:val="0"/>
                <w:numId w:val="4"/>
              </w:numPr>
              <w:ind w:left="283" w:hanging="141"/>
              <w:rPr>
                <w:sz w:val="18"/>
                <w:szCs w:val="18"/>
              </w:rPr>
            </w:pPr>
            <w:r>
              <w:rPr>
                <w:sz w:val="18"/>
                <w:szCs w:val="18"/>
              </w:rPr>
              <w:t>ISS</w:t>
            </w:r>
          </w:p>
          <w:p w:rsidR="00E952EC" w:rsidRDefault="00EE0C3B">
            <w:pPr>
              <w:widowControl w:val="0"/>
              <w:numPr>
                <w:ilvl w:val="0"/>
                <w:numId w:val="4"/>
              </w:numPr>
              <w:ind w:left="283" w:hanging="141"/>
              <w:rPr>
                <w:sz w:val="18"/>
                <w:szCs w:val="18"/>
              </w:rPr>
            </w:pPr>
            <w:r>
              <w:rPr>
                <w:sz w:val="18"/>
                <w:szCs w:val="18"/>
              </w:rPr>
              <w:t>Ministero della Salute</w:t>
            </w: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jc w:val="center"/>
              <w:rPr>
                <w:sz w:val="18"/>
                <w:szCs w:val="18"/>
                <w:highlight w:val="white"/>
              </w:rPr>
            </w:pPr>
          </w:p>
        </w:tc>
      </w:tr>
      <w:tr w:rsidR="00E952EC">
        <w:tc>
          <w:tcPr>
            <w:tcW w:w="450"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ind w:left="720"/>
              <w:jc w:val="center"/>
              <w:rPr>
                <w:b/>
                <w:sz w:val="18"/>
                <w:szCs w:val="18"/>
              </w:rPr>
            </w:pPr>
            <w:r>
              <w:rPr>
                <w:b/>
                <w:sz w:val="18"/>
                <w:szCs w:val="18"/>
              </w:rPr>
              <w:t>5</w:t>
            </w:r>
          </w:p>
        </w:tc>
        <w:tc>
          <w:tcPr>
            <w:tcW w:w="5625"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rPr>
                <w:sz w:val="18"/>
                <w:szCs w:val="18"/>
              </w:rPr>
            </w:pPr>
            <w:r>
              <w:rPr>
                <w:sz w:val="18"/>
                <w:szCs w:val="18"/>
              </w:rPr>
              <w:t>Pianificazione e attuazione degli interventi previsti</w:t>
            </w:r>
          </w:p>
        </w:tc>
        <w:tc>
          <w:tcPr>
            <w:tcW w:w="1635"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widowControl w:val="0"/>
              <w:jc w:val="left"/>
              <w:rPr>
                <w:sz w:val="18"/>
                <w:szCs w:val="18"/>
              </w:rPr>
            </w:pPr>
            <w:r>
              <w:rPr>
                <w:sz w:val="18"/>
                <w:szCs w:val="18"/>
              </w:rPr>
              <w:t>Gruppo Regionale Arbovirosi</w:t>
            </w:r>
          </w:p>
        </w:tc>
        <w:tc>
          <w:tcPr>
            <w:tcW w:w="2760"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widowControl w:val="0"/>
              <w:numPr>
                <w:ilvl w:val="0"/>
                <w:numId w:val="10"/>
              </w:numPr>
              <w:ind w:left="283" w:hanging="141"/>
              <w:rPr>
                <w:sz w:val="18"/>
                <w:szCs w:val="18"/>
              </w:rPr>
            </w:pPr>
            <w:r>
              <w:rPr>
                <w:sz w:val="18"/>
                <w:szCs w:val="18"/>
              </w:rPr>
              <w:t>Azienda Zero</w:t>
            </w:r>
          </w:p>
          <w:p w:rsidR="00E952EC" w:rsidRDefault="00EE0C3B">
            <w:pPr>
              <w:widowControl w:val="0"/>
              <w:numPr>
                <w:ilvl w:val="0"/>
                <w:numId w:val="10"/>
              </w:numPr>
              <w:ind w:left="283" w:hanging="141"/>
              <w:rPr>
                <w:sz w:val="18"/>
                <w:szCs w:val="18"/>
              </w:rPr>
            </w:pPr>
            <w:r>
              <w:rPr>
                <w:sz w:val="18"/>
                <w:szCs w:val="18"/>
              </w:rPr>
              <w:t>ULSS</w:t>
            </w:r>
          </w:p>
          <w:p w:rsidR="00E952EC" w:rsidRDefault="00EE0C3B">
            <w:pPr>
              <w:widowControl w:val="0"/>
              <w:numPr>
                <w:ilvl w:val="0"/>
                <w:numId w:val="10"/>
              </w:numPr>
              <w:ind w:left="283" w:hanging="141"/>
              <w:rPr>
                <w:sz w:val="18"/>
                <w:szCs w:val="18"/>
              </w:rPr>
            </w:pPr>
            <w:r>
              <w:rPr>
                <w:sz w:val="18"/>
                <w:szCs w:val="18"/>
              </w:rPr>
              <w:t>Comuni</w:t>
            </w: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E0C3B">
            <w:pPr>
              <w:widowControl w:val="0"/>
              <w:jc w:val="center"/>
              <w:rPr>
                <w:sz w:val="18"/>
                <w:szCs w:val="18"/>
              </w:rPr>
            </w:pPr>
            <w:r>
              <w:rPr>
                <w:sz w:val="18"/>
                <w:szCs w:val="18"/>
              </w:rPr>
              <w:t>*</w:t>
            </w: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E0C3B">
            <w:pPr>
              <w:widowControl w:val="0"/>
              <w:pBdr>
                <w:top w:val="nil"/>
                <w:left w:val="nil"/>
                <w:bottom w:val="nil"/>
                <w:right w:val="nil"/>
                <w:between w:val="nil"/>
              </w:pBdr>
              <w:jc w:val="center"/>
              <w:rPr>
                <w:sz w:val="18"/>
                <w:szCs w:val="18"/>
              </w:rPr>
            </w:pPr>
            <w:r>
              <w:rPr>
                <w:sz w:val="18"/>
                <w:szCs w:val="18"/>
              </w:rPr>
              <w:t>*</w:t>
            </w: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E0C3B">
            <w:pPr>
              <w:widowControl w:val="0"/>
              <w:pBdr>
                <w:top w:val="nil"/>
                <w:left w:val="nil"/>
                <w:bottom w:val="nil"/>
                <w:right w:val="nil"/>
                <w:between w:val="nil"/>
              </w:pBdr>
              <w:jc w:val="center"/>
              <w:rPr>
                <w:sz w:val="18"/>
                <w:szCs w:val="18"/>
              </w:rPr>
            </w:pPr>
            <w:r>
              <w:rPr>
                <w:sz w:val="18"/>
                <w:szCs w:val="18"/>
              </w:rPr>
              <w:t>*</w:t>
            </w: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r>
      <w:tr w:rsidR="00E952EC">
        <w:tc>
          <w:tcPr>
            <w:tcW w:w="450"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ind w:left="720" w:hanging="720"/>
              <w:jc w:val="center"/>
              <w:rPr>
                <w:b/>
                <w:sz w:val="18"/>
                <w:szCs w:val="18"/>
              </w:rPr>
            </w:pPr>
            <w:r>
              <w:rPr>
                <w:b/>
                <w:sz w:val="18"/>
                <w:szCs w:val="18"/>
              </w:rPr>
              <w:t>6</w:t>
            </w:r>
          </w:p>
        </w:tc>
        <w:tc>
          <w:tcPr>
            <w:tcW w:w="5625"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rPr>
                <w:sz w:val="18"/>
                <w:szCs w:val="18"/>
              </w:rPr>
            </w:pPr>
            <w:r>
              <w:rPr>
                <w:sz w:val="18"/>
                <w:szCs w:val="18"/>
              </w:rPr>
              <w:t>Ulteriori interventi di comunicazione finalizzata ad accrescere la percezione del rischio sia per adottare misure di protezione individuale che all’adozione di misure di contrasto alla crescita del vettore nel contesto delle aree pubbliche e private</w:t>
            </w:r>
          </w:p>
        </w:tc>
        <w:tc>
          <w:tcPr>
            <w:tcW w:w="1635"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widowControl w:val="0"/>
              <w:rPr>
                <w:sz w:val="18"/>
                <w:szCs w:val="18"/>
              </w:rPr>
            </w:pPr>
            <w:r>
              <w:rPr>
                <w:sz w:val="18"/>
                <w:szCs w:val="18"/>
              </w:rPr>
              <w:t xml:space="preserve">Dir. Prev. </w:t>
            </w:r>
          </w:p>
        </w:tc>
        <w:tc>
          <w:tcPr>
            <w:tcW w:w="2760"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widowControl w:val="0"/>
              <w:numPr>
                <w:ilvl w:val="0"/>
                <w:numId w:val="6"/>
              </w:numPr>
              <w:ind w:left="283" w:hanging="141"/>
              <w:rPr>
                <w:sz w:val="18"/>
                <w:szCs w:val="18"/>
              </w:rPr>
            </w:pPr>
            <w:r>
              <w:rPr>
                <w:sz w:val="18"/>
                <w:szCs w:val="18"/>
              </w:rPr>
              <w:t>ULSS</w:t>
            </w:r>
          </w:p>
          <w:p w:rsidR="00E952EC" w:rsidRDefault="00EE0C3B">
            <w:pPr>
              <w:widowControl w:val="0"/>
              <w:numPr>
                <w:ilvl w:val="0"/>
                <w:numId w:val="6"/>
              </w:numPr>
              <w:ind w:left="283" w:hanging="141"/>
              <w:rPr>
                <w:sz w:val="18"/>
                <w:szCs w:val="18"/>
              </w:rPr>
            </w:pPr>
            <w:r>
              <w:rPr>
                <w:sz w:val="18"/>
                <w:szCs w:val="18"/>
              </w:rPr>
              <w:t>Comuni</w:t>
            </w:r>
          </w:p>
          <w:p w:rsidR="00E952EC" w:rsidRDefault="00EE0C3B">
            <w:pPr>
              <w:widowControl w:val="0"/>
              <w:numPr>
                <w:ilvl w:val="0"/>
                <w:numId w:val="6"/>
              </w:numPr>
              <w:ind w:left="283" w:hanging="141"/>
              <w:rPr>
                <w:sz w:val="18"/>
                <w:szCs w:val="18"/>
              </w:rPr>
            </w:pPr>
            <w:r>
              <w:rPr>
                <w:sz w:val="18"/>
                <w:szCs w:val="18"/>
              </w:rPr>
              <w:t>Stakeholder locali</w:t>
            </w: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r>
      <w:tr w:rsidR="00E952EC">
        <w:tc>
          <w:tcPr>
            <w:tcW w:w="450"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ind w:left="720" w:hanging="720"/>
              <w:jc w:val="center"/>
              <w:rPr>
                <w:b/>
                <w:sz w:val="18"/>
                <w:szCs w:val="18"/>
              </w:rPr>
            </w:pPr>
            <w:r>
              <w:rPr>
                <w:b/>
                <w:sz w:val="18"/>
                <w:szCs w:val="18"/>
              </w:rPr>
              <w:t>7</w:t>
            </w:r>
          </w:p>
        </w:tc>
        <w:tc>
          <w:tcPr>
            <w:tcW w:w="5625"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rPr>
                <w:sz w:val="18"/>
                <w:szCs w:val="18"/>
              </w:rPr>
            </w:pPr>
            <w:r>
              <w:rPr>
                <w:sz w:val="18"/>
                <w:szCs w:val="18"/>
              </w:rPr>
              <w:t>Intensificazione del controllo dell'efficacia dei trattamenti effettuati</w:t>
            </w:r>
          </w:p>
        </w:tc>
        <w:tc>
          <w:tcPr>
            <w:tcW w:w="1635"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widowControl w:val="0"/>
              <w:pBdr>
                <w:top w:val="nil"/>
                <w:left w:val="nil"/>
                <w:bottom w:val="nil"/>
                <w:right w:val="nil"/>
                <w:between w:val="nil"/>
              </w:pBdr>
              <w:rPr>
                <w:sz w:val="18"/>
                <w:szCs w:val="18"/>
              </w:rPr>
            </w:pPr>
            <w:r>
              <w:rPr>
                <w:sz w:val="18"/>
                <w:szCs w:val="18"/>
              </w:rPr>
              <w:t>ULSS</w:t>
            </w:r>
          </w:p>
        </w:tc>
        <w:tc>
          <w:tcPr>
            <w:tcW w:w="2760"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widowControl w:val="0"/>
              <w:numPr>
                <w:ilvl w:val="0"/>
                <w:numId w:val="2"/>
              </w:numPr>
              <w:pBdr>
                <w:top w:val="nil"/>
                <w:left w:val="nil"/>
                <w:bottom w:val="nil"/>
                <w:right w:val="nil"/>
                <w:between w:val="nil"/>
              </w:pBdr>
              <w:ind w:left="283" w:hanging="141"/>
              <w:rPr>
                <w:sz w:val="18"/>
                <w:szCs w:val="18"/>
              </w:rPr>
            </w:pPr>
            <w:r>
              <w:rPr>
                <w:sz w:val="18"/>
                <w:szCs w:val="18"/>
              </w:rPr>
              <w:t>IZSVe</w:t>
            </w: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pBdr>
                <w:top w:val="nil"/>
                <w:left w:val="nil"/>
                <w:bottom w:val="nil"/>
                <w:right w:val="nil"/>
                <w:between w:val="nil"/>
              </w:pBdr>
              <w:jc w:val="center"/>
              <w:rPr>
                <w:sz w:val="18"/>
                <w:szCs w:val="18"/>
              </w:rPr>
            </w:pPr>
          </w:p>
        </w:tc>
      </w:tr>
      <w:tr w:rsidR="00E952EC">
        <w:tc>
          <w:tcPr>
            <w:tcW w:w="450"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ind w:left="720" w:hanging="720"/>
              <w:jc w:val="center"/>
              <w:rPr>
                <w:b/>
                <w:sz w:val="18"/>
                <w:szCs w:val="18"/>
              </w:rPr>
            </w:pPr>
            <w:r>
              <w:rPr>
                <w:b/>
                <w:sz w:val="18"/>
                <w:szCs w:val="18"/>
              </w:rPr>
              <w:t>8</w:t>
            </w:r>
          </w:p>
        </w:tc>
        <w:tc>
          <w:tcPr>
            <w:tcW w:w="5625"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rPr>
                <w:sz w:val="18"/>
                <w:szCs w:val="18"/>
              </w:rPr>
            </w:pPr>
            <w:r>
              <w:rPr>
                <w:sz w:val="18"/>
                <w:szCs w:val="18"/>
              </w:rPr>
              <w:t>Analisi epidemiologica con valutazione e monitoraggio del Piano</w:t>
            </w:r>
          </w:p>
        </w:tc>
        <w:tc>
          <w:tcPr>
            <w:tcW w:w="1635"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widowControl w:val="0"/>
              <w:jc w:val="left"/>
              <w:rPr>
                <w:sz w:val="18"/>
                <w:szCs w:val="18"/>
              </w:rPr>
            </w:pPr>
            <w:r>
              <w:rPr>
                <w:sz w:val="18"/>
                <w:szCs w:val="18"/>
              </w:rPr>
              <w:t>Gruppo Regionale Arbovirosi</w:t>
            </w:r>
          </w:p>
        </w:tc>
        <w:tc>
          <w:tcPr>
            <w:tcW w:w="2760"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E0C3B">
            <w:pPr>
              <w:widowControl w:val="0"/>
              <w:numPr>
                <w:ilvl w:val="0"/>
                <w:numId w:val="8"/>
              </w:numPr>
              <w:ind w:left="283" w:hanging="141"/>
              <w:rPr>
                <w:sz w:val="18"/>
                <w:szCs w:val="18"/>
                <w:highlight w:val="white"/>
              </w:rPr>
            </w:pPr>
            <w:r>
              <w:rPr>
                <w:sz w:val="18"/>
                <w:szCs w:val="18"/>
                <w:highlight w:val="white"/>
              </w:rPr>
              <w:t>ULSS</w:t>
            </w:r>
          </w:p>
          <w:p w:rsidR="00E952EC" w:rsidRDefault="00EE0C3B">
            <w:pPr>
              <w:widowControl w:val="0"/>
              <w:numPr>
                <w:ilvl w:val="0"/>
                <w:numId w:val="8"/>
              </w:numPr>
              <w:ind w:left="283" w:hanging="141"/>
              <w:rPr>
                <w:sz w:val="18"/>
                <w:szCs w:val="18"/>
                <w:highlight w:val="white"/>
              </w:rPr>
            </w:pPr>
            <w:r>
              <w:rPr>
                <w:sz w:val="18"/>
                <w:szCs w:val="18"/>
                <w:highlight w:val="white"/>
              </w:rPr>
              <w:t>IZSVe</w:t>
            </w:r>
          </w:p>
          <w:p w:rsidR="00E952EC" w:rsidRDefault="00EE0C3B">
            <w:pPr>
              <w:widowControl w:val="0"/>
              <w:numPr>
                <w:ilvl w:val="0"/>
                <w:numId w:val="8"/>
              </w:numPr>
              <w:ind w:left="283" w:hanging="141"/>
              <w:rPr>
                <w:sz w:val="18"/>
                <w:szCs w:val="18"/>
                <w:highlight w:val="white"/>
              </w:rPr>
            </w:pPr>
            <w:r>
              <w:rPr>
                <w:sz w:val="18"/>
                <w:szCs w:val="18"/>
                <w:highlight w:val="white"/>
              </w:rPr>
              <w:t>ISS</w:t>
            </w:r>
          </w:p>
          <w:p w:rsidR="00E952EC" w:rsidRDefault="00EE0C3B">
            <w:pPr>
              <w:widowControl w:val="0"/>
              <w:numPr>
                <w:ilvl w:val="0"/>
                <w:numId w:val="8"/>
              </w:numPr>
              <w:ind w:left="283" w:hanging="141"/>
              <w:rPr>
                <w:sz w:val="18"/>
                <w:szCs w:val="18"/>
                <w:highlight w:val="white"/>
              </w:rPr>
            </w:pPr>
            <w:r>
              <w:rPr>
                <w:sz w:val="18"/>
                <w:szCs w:val="18"/>
              </w:rPr>
              <w:t>Ministero della Salute</w:t>
            </w: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auto"/>
            <w:tcMar>
              <w:top w:w="43" w:type="dxa"/>
              <w:left w:w="43" w:type="dxa"/>
              <w:bottom w:w="43" w:type="dxa"/>
              <w:right w:w="43" w:type="dxa"/>
            </w:tcMar>
            <w:vAlign w:val="center"/>
          </w:tcPr>
          <w:p w:rsidR="00E952EC" w:rsidRDefault="00E952EC">
            <w:pPr>
              <w:widowControl w:val="0"/>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jc w:val="center"/>
              <w:rPr>
                <w:sz w:val="18"/>
                <w:szCs w:val="18"/>
                <w:highlight w:val="white"/>
              </w:rPr>
            </w:pPr>
          </w:p>
        </w:tc>
        <w:tc>
          <w:tcPr>
            <w:tcW w:w="436" w:type="dxa"/>
            <w:tcBorders>
              <w:top w:val="single" w:sz="8" w:space="0" w:color="434343"/>
              <w:left w:val="single" w:sz="8" w:space="0" w:color="434343"/>
              <w:bottom w:val="single" w:sz="8" w:space="0" w:color="434343"/>
              <w:right w:val="single" w:sz="8" w:space="0" w:color="434343"/>
            </w:tcBorders>
            <w:shd w:val="clear" w:color="auto" w:fill="CFE2F3"/>
            <w:tcMar>
              <w:top w:w="43" w:type="dxa"/>
              <w:left w:w="43" w:type="dxa"/>
              <w:bottom w:w="43" w:type="dxa"/>
              <w:right w:w="43" w:type="dxa"/>
            </w:tcMar>
            <w:vAlign w:val="center"/>
          </w:tcPr>
          <w:p w:rsidR="00E952EC" w:rsidRDefault="00E952EC">
            <w:pPr>
              <w:widowControl w:val="0"/>
              <w:jc w:val="center"/>
              <w:rPr>
                <w:sz w:val="18"/>
                <w:szCs w:val="18"/>
                <w:highlight w:val="white"/>
              </w:rPr>
            </w:pPr>
          </w:p>
        </w:tc>
      </w:tr>
    </w:tbl>
    <w:p w:rsidR="00E952EC" w:rsidRDefault="00E952EC">
      <w:pPr>
        <w:rPr>
          <w:i/>
          <w:sz w:val="18"/>
          <w:szCs w:val="18"/>
        </w:rPr>
      </w:pPr>
    </w:p>
    <w:p w:rsidR="00E952EC" w:rsidRDefault="00EE0C3B">
      <w:pPr>
        <w:rPr>
          <w:i/>
          <w:sz w:val="18"/>
          <w:szCs w:val="18"/>
        </w:rPr>
        <w:sectPr w:rsidR="00E952EC">
          <w:pgSz w:w="16838" w:h="11906" w:orient="landscape"/>
          <w:pgMar w:top="1440" w:right="1440" w:bottom="1115" w:left="1440" w:header="720" w:footer="720" w:gutter="0"/>
          <w:cols w:space="720"/>
        </w:sectPr>
      </w:pPr>
      <w:r>
        <w:rPr>
          <w:i/>
          <w:sz w:val="18"/>
          <w:szCs w:val="18"/>
        </w:rPr>
        <w:t>* Gli interventi adulticidi dovranno essere concentrati tra fine agosto e i primi 10 giorni di settembre.</w:t>
      </w:r>
    </w:p>
    <w:p w:rsidR="00E952EC" w:rsidRDefault="00EE0C3B">
      <w:pPr>
        <w:pStyle w:val="Titolo2"/>
      </w:pPr>
      <w:bookmarkStart w:id="16" w:name="_m46cqv57k61" w:colFirst="0" w:colLast="0"/>
      <w:bookmarkEnd w:id="16"/>
      <w:r>
        <w:lastRenderedPageBreak/>
        <w:t>1. Estensione della rete di diagnostica di laboratorio</w:t>
      </w:r>
    </w:p>
    <w:p w:rsidR="00E952EC" w:rsidRDefault="00EE0C3B">
      <w:r>
        <w:t>Lo scenario attuale ha richiesto un rafforzamento delle capacità diagnostiche della rete delle microbiologie della Regione al fine di garantire il monitoraggio epidemiologico e la conferma tempestiva dei casi per l’avvio immediato delle azioni di sanità pubblica.</w:t>
      </w:r>
    </w:p>
    <w:p w:rsidR="00E952EC" w:rsidRDefault="00EE0C3B">
      <w:r>
        <w:t>Si riporta di seguito la tabella riassuntiva, predisposta dal Coordinamento Regionale della Rete delle Microbiologie, relativa alle attività garantite dai diversi Laboratori della Regione in relazione alla capacità diagnostica per West Nile Virus.</w:t>
      </w:r>
    </w:p>
    <w:p w:rsidR="00E952EC" w:rsidRDefault="00E952EC"/>
    <w:tbl>
      <w:tblPr>
        <w:tblStyle w:val="a0"/>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806"/>
        <w:gridCol w:w="1805"/>
        <w:gridCol w:w="1805"/>
        <w:gridCol w:w="1805"/>
        <w:gridCol w:w="1805"/>
      </w:tblGrid>
      <w:tr w:rsidR="00E952EC">
        <w:tc>
          <w:tcPr>
            <w:tcW w:w="1805" w:type="dxa"/>
            <w:shd w:val="clear" w:color="auto" w:fill="EFEFEF"/>
            <w:tcMar>
              <w:top w:w="100" w:type="dxa"/>
              <w:left w:w="100" w:type="dxa"/>
              <w:bottom w:w="100" w:type="dxa"/>
              <w:right w:w="100" w:type="dxa"/>
            </w:tcMar>
          </w:tcPr>
          <w:p w:rsidR="00E952EC" w:rsidRDefault="00EE0C3B">
            <w:pPr>
              <w:widowControl w:val="0"/>
              <w:spacing w:line="240" w:lineRule="auto"/>
              <w:jc w:val="center"/>
              <w:rPr>
                <w:b/>
              </w:rPr>
            </w:pPr>
            <w:r>
              <w:rPr>
                <w:b/>
              </w:rPr>
              <w:t>Azienda Sanitaria</w:t>
            </w:r>
          </w:p>
        </w:tc>
        <w:tc>
          <w:tcPr>
            <w:tcW w:w="1805" w:type="dxa"/>
            <w:shd w:val="clear" w:color="auto" w:fill="EFEFEF"/>
            <w:tcMar>
              <w:top w:w="100" w:type="dxa"/>
              <w:left w:w="100" w:type="dxa"/>
              <w:bottom w:w="100" w:type="dxa"/>
              <w:right w:w="100" w:type="dxa"/>
            </w:tcMar>
          </w:tcPr>
          <w:p w:rsidR="00E952EC" w:rsidRDefault="00EE0C3B">
            <w:pPr>
              <w:widowControl w:val="0"/>
              <w:spacing w:line="240" w:lineRule="auto"/>
              <w:jc w:val="center"/>
              <w:rPr>
                <w:b/>
              </w:rPr>
            </w:pPr>
            <w:r>
              <w:rPr>
                <w:b/>
              </w:rPr>
              <w:t>Esecuzione test sierologico *</w:t>
            </w:r>
          </w:p>
        </w:tc>
        <w:tc>
          <w:tcPr>
            <w:tcW w:w="1805" w:type="dxa"/>
            <w:shd w:val="clear" w:color="auto" w:fill="EFEFEF"/>
            <w:tcMar>
              <w:top w:w="100" w:type="dxa"/>
              <w:left w:w="100" w:type="dxa"/>
              <w:bottom w:w="100" w:type="dxa"/>
              <w:right w:w="100" w:type="dxa"/>
            </w:tcMar>
          </w:tcPr>
          <w:p w:rsidR="00E952EC" w:rsidRDefault="00EE0C3B">
            <w:pPr>
              <w:widowControl w:val="0"/>
              <w:spacing w:line="240" w:lineRule="auto"/>
              <w:jc w:val="center"/>
              <w:rPr>
                <w:b/>
              </w:rPr>
            </w:pPr>
            <w:r>
              <w:rPr>
                <w:b/>
              </w:rPr>
              <w:t>Esecuzione test molecolare *</w:t>
            </w:r>
          </w:p>
        </w:tc>
        <w:tc>
          <w:tcPr>
            <w:tcW w:w="1805" w:type="dxa"/>
            <w:shd w:val="clear" w:color="auto" w:fill="EFEFEF"/>
            <w:tcMar>
              <w:top w:w="100" w:type="dxa"/>
              <w:left w:w="100" w:type="dxa"/>
              <w:bottom w:w="100" w:type="dxa"/>
              <w:right w:w="100" w:type="dxa"/>
            </w:tcMar>
          </w:tcPr>
          <w:p w:rsidR="00E952EC" w:rsidRDefault="00EE0C3B">
            <w:pPr>
              <w:widowControl w:val="0"/>
              <w:spacing w:line="240" w:lineRule="auto"/>
              <w:jc w:val="center"/>
              <w:rPr>
                <w:b/>
              </w:rPr>
            </w:pPr>
            <w:r>
              <w:rPr>
                <w:b/>
              </w:rPr>
              <w:t>Test di neutralizzazione</w:t>
            </w:r>
          </w:p>
        </w:tc>
        <w:tc>
          <w:tcPr>
            <w:tcW w:w="1805" w:type="dxa"/>
            <w:shd w:val="clear" w:color="auto" w:fill="EFEFEF"/>
            <w:tcMar>
              <w:top w:w="100" w:type="dxa"/>
              <w:left w:w="100" w:type="dxa"/>
              <w:bottom w:w="100" w:type="dxa"/>
              <w:right w:w="100" w:type="dxa"/>
            </w:tcMar>
          </w:tcPr>
          <w:p w:rsidR="00E952EC" w:rsidRDefault="00EE0C3B">
            <w:pPr>
              <w:widowControl w:val="0"/>
              <w:spacing w:line="240" w:lineRule="auto"/>
              <w:jc w:val="center"/>
              <w:rPr>
                <w:b/>
              </w:rPr>
            </w:pPr>
            <w:r>
              <w:rPr>
                <w:b/>
              </w:rPr>
              <w:t>Test per sottotipi virali e lineage</w:t>
            </w:r>
          </w:p>
        </w:tc>
      </w:tr>
      <w:tr w:rsidR="00E952E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ULSS 1</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r>
      <w:tr w:rsidR="00E952E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ULSS 2</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Si</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r>
      <w:tr w:rsidR="00E952E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ULSS 3</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Sì</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r>
      <w:tr w:rsidR="00E952E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ULSS 4</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 Treviso</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r>
      <w:tr w:rsidR="00E952E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ULSS 5</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Sì</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r>
      <w:tr w:rsidR="00E952E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ULSS 6</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r>
      <w:tr w:rsidR="00E952E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ULSS 7</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Sì</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r>
      <w:tr w:rsidR="00E952E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ULSS 8</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Sì</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Sì</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r>
      <w:tr w:rsidR="00E952E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ULSS 9</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rPr>
                <w:highlight w:val="white"/>
              </w:rPr>
            </w:pPr>
            <w:r>
              <w:rPr>
                <w:highlight w:val="white"/>
              </w:rPr>
              <w:t>Sì</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r>
      <w:tr w:rsidR="00E952E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AOUVR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Sì</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c>
          <w:tcPr>
            <w:tcW w:w="1805" w:type="dxa"/>
            <w:shd w:val="clear" w:color="auto" w:fill="auto"/>
            <w:tcMar>
              <w:top w:w="100" w:type="dxa"/>
              <w:left w:w="100" w:type="dxa"/>
              <w:bottom w:w="100" w:type="dxa"/>
              <w:right w:w="100" w:type="dxa"/>
            </w:tcMar>
          </w:tcPr>
          <w:p w:rsidR="00E952EC" w:rsidRDefault="00EE0C3B">
            <w:pPr>
              <w:widowControl w:val="0"/>
              <w:spacing w:line="240" w:lineRule="auto"/>
              <w:jc w:val="center"/>
            </w:pPr>
            <w:r>
              <w:t>invio al LRR</w:t>
            </w:r>
          </w:p>
        </w:tc>
      </w:tr>
      <w:tr w:rsidR="00E952EC">
        <w:tc>
          <w:tcPr>
            <w:tcW w:w="1805" w:type="dxa"/>
            <w:shd w:val="clear" w:color="auto" w:fill="EFEFEF"/>
            <w:tcMar>
              <w:top w:w="100" w:type="dxa"/>
              <w:left w:w="100" w:type="dxa"/>
              <w:bottom w:w="100" w:type="dxa"/>
              <w:right w:w="100" w:type="dxa"/>
            </w:tcMar>
          </w:tcPr>
          <w:p w:rsidR="00E952EC" w:rsidRDefault="00EE0C3B">
            <w:pPr>
              <w:widowControl w:val="0"/>
              <w:spacing w:line="240" w:lineRule="auto"/>
              <w:jc w:val="center"/>
              <w:rPr>
                <w:b/>
              </w:rPr>
            </w:pPr>
            <w:r>
              <w:rPr>
                <w:b/>
              </w:rPr>
              <w:t>AOUPD (LRR)</w:t>
            </w:r>
          </w:p>
        </w:tc>
        <w:tc>
          <w:tcPr>
            <w:tcW w:w="1805" w:type="dxa"/>
            <w:shd w:val="clear" w:color="auto" w:fill="EFEFEF"/>
            <w:tcMar>
              <w:top w:w="100" w:type="dxa"/>
              <w:left w:w="100" w:type="dxa"/>
              <w:bottom w:w="100" w:type="dxa"/>
              <w:right w:w="100" w:type="dxa"/>
            </w:tcMar>
          </w:tcPr>
          <w:p w:rsidR="00E952EC" w:rsidRDefault="00EE0C3B">
            <w:pPr>
              <w:widowControl w:val="0"/>
              <w:spacing w:line="240" w:lineRule="auto"/>
              <w:jc w:val="center"/>
              <w:rPr>
                <w:b/>
              </w:rPr>
            </w:pPr>
            <w:r>
              <w:rPr>
                <w:b/>
              </w:rPr>
              <w:t>Sì</w:t>
            </w:r>
          </w:p>
        </w:tc>
        <w:tc>
          <w:tcPr>
            <w:tcW w:w="1805" w:type="dxa"/>
            <w:shd w:val="clear" w:color="auto" w:fill="EFEFEF"/>
            <w:tcMar>
              <w:top w:w="100" w:type="dxa"/>
              <w:left w:w="100" w:type="dxa"/>
              <w:bottom w:w="100" w:type="dxa"/>
              <w:right w:w="100" w:type="dxa"/>
            </w:tcMar>
          </w:tcPr>
          <w:p w:rsidR="00E952EC" w:rsidRDefault="00EE0C3B">
            <w:pPr>
              <w:widowControl w:val="0"/>
              <w:spacing w:line="240" w:lineRule="auto"/>
              <w:jc w:val="center"/>
              <w:rPr>
                <w:b/>
              </w:rPr>
            </w:pPr>
            <w:r>
              <w:rPr>
                <w:b/>
              </w:rPr>
              <w:t>Sì</w:t>
            </w:r>
          </w:p>
        </w:tc>
        <w:tc>
          <w:tcPr>
            <w:tcW w:w="1805" w:type="dxa"/>
            <w:shd w:val="clear" w:color="auto" w:fill="EFEFEF"/>
            <w:tcMar>
              <w:top w:w="100" w:type="dxa"/>
              <w:left w:w="100" w:type="dxa"/>
              <w:bottom w:w="100" w:type="dxa"/>
              <w:right w:w="100" w:type="dxa"/>
            </w:tcMar>
          </w:tcPr>
          <w:p w:rsidR="00E952EC" w:rsidRDefault="00EE0C3B">
            <w:pPr>
              <w:widowControl w:val="0"/>
              <w:spacing w:line="240" w:lineRule="auto"/>
              <w:jc w:val="center"/>
              <w:rPr>
                <w:b/>
              </w:rPr>
            </w:pPr>
            <w:r>
              <w:rPr>
                <w:b/>
              </w:rPr>
              <w:t>Si</w:t>
            </w:r>
          </w:p>
        </w:tc>
        <w:tc>
          <w:tcPr>
            <w:tcW w:w="1805" w:type="dxa"/>
            <w:shd w:val="clear" w:color="auto" w:fill="EFEFEF"/>
            <w:tcMar>
              <w:top w:w="100" w:type="dxa"/>
              <w:left w:w="100" w:type="dxa"/>
              <w:bottom w:w="100" w:type="dxa"/>
              <w:right w:w="100" w:type="dxa"/>
            </w:tcMar>
          </w:tcPr>
          <w:p w:rsidR="00E952EC" w:rsidRDefault="00EE0C3B">
            <w:pPr>
              <w:widowControl w:val="0"/>
              <w:spacing w:line="240" w:lineRule="auto"/>
              <w:jc w:val="center"/>
              <w:rPr>
                <w:b/>
              </w:rPr>
            </w:pPr>
            <w:r>
              <w:rPr>
                <w:b/>
              </w:rPr>
              <w:t>Si</w:t>
            </w:r>
          </w:p>
        </w:tc>
      </w:tr>
    </w:tbl>
    <w:p w:rsidR="00E952EC" w:rsidRDefault="00EE0C3B">
      <w:pPr>
        <w:rPr>
          <w:i/>
        </w:rPr>
      </w:pPr>
      <w:r>
        <w:rPr>
          <w:i/>
        </w:rPr>
        <w:t>* Per tutti i casi è previsto l’invio tempestivo al LRR del campione per l’esecuzione del test di neutralizzazione di conferma, a seguito di riscontro di positività ad ogni test sierologico, e l’invio di campioni idonei a valutare la presenza di RNA virale, sottotipi e lineage, secondo quanto già previsto dalle “Linee operative per la sorveglianza delle Arbovirosi nella Regione del Veneto per l’anno 2022”. Nel caso in cui il laboratorio sia dotato di metodiche molecolari certificate CE-IVD, è previsto l’invio tempestivo dei campioni positivi al LRR (Laboratorio di Riferimento Regionale) per la conferma e la determinazione del lineage.</w:t>
      </w:r>
    </w:p>
    <w:p w:rsidR="00E952EC" w:rsidRDefault="00E952EC">
      <w:pPr>
        <w:rPr>
          <w:color w:val="FF0000"/>
        </w:rPr>
      </w:pPr>
    </w:p>
    <w:p w:rsidR="00E952EC" w:rsidRDefault="00E952EC">
      <w:pPr>
        <w:pStyle w:val="Titolo2"/>
      </w:pPr>
      <w:bookmarkStart w:id="17" w:name="_7aqslmwserfz" w:colFirst="0" w:colLast="0"/>
      <w:bookmarkEnd w:id="17"/>
    </w:p>
    <w:p w:rsidR="00E952EC" w:rsidRDefault="00EE0C3B">
      <w:pPr>
        <w:pStyle w:val="Titolo2"/>
      </w:pPr>
      <w:bookmarkStart w:id="18" w:name="_es8ig2d1hgv" w:colFirst="0" w:colLast="0"/>
      <w:bookmarkEnd w:id="18"/>
      <w:r>
        <w:t>2. Rafforzamento del monitoraggio epidemiologico integrato con definizione dello strumento per la valutazione del rischio</w:t>
      </w:r>
    </w:p>
    <w:p w:rsidR="00E952EC" w:rsidRDefault="00EE0C3B">
      <w:pPr>
        <w:pBdr>
          <w:top w:val="nil"/>
          <w:left w:val="nil"/>
          <w:bottom w:val="nil"/>
          <w:right w:val="nil"/>
          <w:between w:val="nil"/>
        </w:pBdr>
      </w:pPr>
      <w:r>
        <w:t>Il rafforzamento del monitoraggio epidemiologico ha previsto un miglioramento della modalità di notifica del caso, con interventi precoci anche sui casi probabili e un potenziamento della capacità diagnostica dei laboratori di microbiologia (in aggiunta al laboratorio regionale di riferimento). Al fine di evidenziare un livello di rischio specifico per ogni area è stato introdotto uno score che, a prescindere dai fattori climatici di macroarea, punta a stratificare il rischio sulla base della presenza di casi umani, cluster, casi animali, casi negli ospiti di amplificazione e riscontro di positività nel vettore nella sorveglianza delle trappole.</w:t>
      </w:r>
    </w:p>
    <w:p w:rsidR="00E952EC" w:rsidRDefault="00EE0C3B">
      <w:pPr>
        <w:pBdr>
          <w:top w:val="nil"/>
          <w:left w:val="nil"/>
          <w:bottom w:val="nil"/>
          <w:right w:val="nil"/>
          <w:between w:val="nil"/>
        </w:pBdr>
      </w:pPr>
      <w:r>
        <w:t xml:space="preserve"> </w:t>
      </w:r>
    </w:p>
    <w:p w:rsidR="00E952EC" w:rsidRDefault="00EE0C3B">
      <w:pPr>
        <w:pBdr>
          <w:top w:val="nil"/>
          <w:left w:val="nil"/>
          <w:bottom w:val="nil"/>
          <w:right w:val="nil"/>
          <w:between w:val="nil"/>
        </w:pBdr>
      </w:pPr>
      <w:r>
        <w:t xml:space="preserve">Il piano complessivo prevede di attuare azioni parametrate in base alla situazione di rischio di una specifica area o territorio. Il documento tecnico dell’ECDC </w:t>
      </w:r>
      <w:r>
        <w:rPr>
          <w:i/>
        </w:rPr>
        <w:t>Vector control practices and strategies against West Nile virus</w:t>
      </w:r>
      <w:r>
        <w:t xml:space="preserve"> specifica infatti la necessità di adottare contestualmente all’utilizzo di larvicidi altre tipologie di intervento, </w:t>
      </w:r>
      <w:r>
        <w:lastRenderedPageBreak/>
        <w:t>compresi gli interventi adulticidi, per ridurre in modo efficace il rischio di WNV nelle aree nelle quali il solo controllo della popolazione larvale non sia risultato efficace in maniera completa.</w:t>
      </w:r>
    </w:p>
    <w:p w:rsidR="00E952EC" w:rsidRDefault="00EE0C3B">
      <w:pPr>
        <w:pBdr>
          <w:top w:val="nil"/>
          <w:left w:val="nil"/>
          <w:bottom w:val="nil"/>
          <w:right w:val="nil"/>
          <w:between w:val="nil"/>
        </w:pBdr>
      </w:pPr>
      <w:r>
        <w:t xml:space="preserve">Si propone, con la finalità di uniformare e migliorare l’efficacia delle azioni intraprese per ridurre il rischio di trasmissione di WNV, di </w:t>
      </w:r>
      <w:r>
        <w:rPr>
          <w:u w:val="single"/>
        </w:rPr>
        <w:t>definire uno strumento di misurazione del rischio adattando allo scenario epidemiologico regionale attuale</w:t>
      </w:r>
      <w:r>
        <w:t xml:space="preserve"> lo strumento dell’ECDC </w:t>
      </w:r>
      <w:r>
        <w:rPr>
          <w:i/>
        </w:rPr>
        <w:t>West Nile virus risk assessment tool</w:t>
      </w:r>
      <w:r>
        <w:rPr>
          <w:i/>
          <w:vertAlign w:val="superscript"/>
        </w:rPr>
        <w:footnoteReference w:id="2"/>
      </w:r>
      <w:r>
        <w:rPr>
          <w:i/>
        </w:rPr>
        <w:t xml:space="preserve">.  </w:t>
      </w:r>
      <w:r>
        <w:t>L’obiettivo è quello di disporre di una valutazione del rischio che consideri i vari aspetti derivanti dalla sorveglianza integrata che la Regione del Veneto attua nell’ambito del contrasto della malattie trasmesse da vettori per individuare aree a diverso gradiente secondo uno score costruito considerando le diverse variabili applicabili al contesto valutato.</w:t>
      </w:r>
    </w:p>
    <w:p w:rsidR="00E952EC" w:rsidRDefault="00E952EC">
      <w:pPr>
        <w:pBdr>
          <w:top w:val="nil"/>
          <w:left w:val="nil"/>
          <w:bottom w:val="nil"/>
          <w:right w:val="nil"/>
          <w:between w:val="nil"/>
        </w:pBdr>
        <w:rPr>
          <w:color w:val="FF0000"/>
        </w:rPr>
      </w:pPr>
    </w:p>
    <w:p w:rsidR="00E952EC" w:rsidRDefault="00E952EC">
      <w:pPr>
        <w:pBdr>
          <w:top w:val="nil"/>
          <w:left w:val="nil"/>
          <w:bottom w:val="nil"/>
          <w:right w:val="nil"/>
          <w:between w:val="nil"/>
        </w:pBdr>
        <w:rPr>
          <w:color w:val="FF0000"/>
        </w:rPr>
      </w:pPr>
    </w:p>
    <w:p w:rsidR="00E952EC" w:rsidRDefault="00EE0C3B">
      <w:pPr>
        <w:pBdr>
          <w:top w:val="nil"/>
          <w:left w:val="nil"/>
          <w:bottom w:val="nil"/>
          <w:right w:val="nil"/>
          <w:between w:val="nil"/>
        </w:pBdr>
        <w:rPr>
          <w:b/>
        </w:rPr>
      </w:pPr>
      <w:r>
        <w:rPr>
          <w:b/>
        </w:rPr>
        <w:t>Tabella. Definizione dello score di valutazione del rischio</w:t>
      </w:r>
    </w:p>
    <w:p w:rsidR="00E952EC" w:rsidRDefault="00E952EC">
      <w:pPr>
        <w:pBdr>
          <w:top w:val="nil"/>
          <w:left w:val="nil"/>
          <w:bottom w:val="nil"/>
          <w:right w:val="nil"/>
          <w:between w:val="nil"/>
        </w:pBdr>
        <w:rPr>
          <w:b/>
        </w:rPr>
      </w:pPr>
    </w:p>
    <w:tbl>
      <w:tblPr>
        <w:tblStyle w:val="a1"/>
        <w:tblW w:w="901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97"/>
        <w:gridCol w:w="7837"/>
        <w:gridCol w:w="777"/>
      </w:tblGrid>
      <w:tr w:rsidR="00E952EC">
        <w:trPr>
          <w:jc w:val="center"/>
        </w:trPr>
        <w:tc>
          <w:tcPr>
            <w:tcW w:w="397" w:type="dxa"/>
            <w:shd w:val="clear" w:color="auto" w:fill="auto"/>
            <w:tcMar>
              <w:top w:w="43" w:type="dxa"/>
              <w:left w:w="43" w:type="dxa"/>
              <w:bottom w:w="43" w:type="dxa"/>
              <w:right w:w="43" w:type="dxa"/>
            </w:tcMar>
          </w:tcPr>
          <w:p w:rsidR="00E952EC" w:rsidRDefault="00E952EC">
            <w:pPr>
              <w:rPr>
                <w:b/>
              </w:rPr>
            </w:pPr>
          </w:p>
        </w:tc>
        <w:tc>
          <w:tcPr>
            <w:tcW w:w="7836" w:type="dxa"/>
            <w:shd w:val="clear" w:color="auto" w:fill="auto"/>
            <w:tcMar>
              <w:top w:w="43" w:type="dxa"/>
              <w:left w:w="43" w:type="dxa"/>
              <w:bottom w:w="43" w:type="dxa"/>
              <w:right w:w="43" w:type="dxa"/>
            </w:tcMar>
          </w:tcPr>
          <w:p w:rsidR="00E952EC" w:rsidRDefault="00E952EC"/>
        </w:tc>
        <w:tc>
          <w:tcPr>
            <w:tcW w:w="777" w:type="dxa"/>
            <w:shd w:val="clear" w:color="auto" w:fill="auto"/>
            <w:tcMar>
              <w:top w:w="43" w:type="dxa"/>
              <w:left w:w="43" w:type="dxa"/>
              <w:bottom w:w="43" w:type="dxa"/>
              <w:right w:w="43" w:type="dxa"/>
            </w:tcMar>
          </w:tcPr>
          <w:p w:rsidR="00E952EC" w:rsidRDefault="00EE0C3B">
            <w:pPr>
              <w:jc w:val="center"/>
              <w:rPr>
                <w:b/>
              </w:rPr>
            </w:pPr>
            <w:r>
              <w:rPr>
                <w:b/>
              </w:rPr>
              <w:t>PUNTI</w:t>
            </w:r>
          </w:p>
        </w:tc>
      </w:tr>
      <w:tr w:rsidR="00E952EC">
        <w:trPr>
          <w:jc w:val="center"/>
        </w:trPr>
        <w:tc>
          <w:tcPr>
            <w:tcW w:w="397" w:type="dxa"/>
            <w:shd w:val="clear" w:color="auto" w:fill="CFE2F3"/>
            <w:tcMar>
              <w:top w:w="43" w:type="dxa"/>
              <w:left w:w="43" w:type="dxa"/>
              <w:bottom w:w="43" w:type="dxa"/>
              <w:right w:w="43" w:type="dxa"/>
            </w:tcMar>
          </w:tcPr>
          <w:p w:rsidR="00E952EC" w:rsidRDefault="00EE0C3B">
            <w:pPr>
              <w:jc w:val="center"/>
              <w:rPr>
                <w:b/>
              </w:rPr>
            </w:pPr>
            <w:r>
              <w:rPr>
                <w:b/>
              </w:rPr>
              <w:t>A</w:t>
            </w:r>
          </w:p>
        </w:tc>
        <w:tc>
          <w:tcPr>
            <w:tcW w:w="7836" w:type="dxa"/>
            <w:shd w:val="clear" w:color="auto" w:fill="CFE2F3"/>
            <w:tcMar>
              <w:top w:w="43" w:type="dxa"/>
              <w:left w:w="43" w:type="dxa"/>
              <w:bottom w:w="43" w:type="dxa"/>
              <w:right w:w="43" w:type="dxa"/>
            </w:tcMar>
          </w:tcPr>
          <w:p w:rsidR="00E952EC" w:rsidRDefault="00EE0C3B">
            <w:pPr>
              <w:rPr>
                <w:b/>
              </w:rPr>
            </w:pPr>
            <w:r>
              <w:rPr>
                <w:b/>
              </w:rPr>
              <w:t>Presenza di casi umani nell’area interessata negli ultimi 21 giorni (comune/circoscrizione)</w:t>
            </w:r>
          </w:p>
          <w:p w:rsidR="00E952EC" w:rsidRDefault="00EE0C3B">
            <w:pPr>
              <w:rPr>
                <w:i/>
                <w:sz w:val="18"/>
                <w:szCs w:val="18"/>
              </w:rPr>
            </w:pPr>
            <w:r>
              <w:rPr>
                <w:i/>
                <w:sz w:val="18"/>
                <w:szCs w:val="18"/>
              </w:rPr>
              <w:t>Le caratteristiche cliniche del caso correlano con il numero di casi presenti nell’area interessata</w:t>
            </w:r>
          </w:p>
        </w:tc>
        <w:tc>
          <w:tcPr>
            <w:tcW w:w="777" w:type="dxa"/>
            <w:shd w:val="clear" w:color="auto" w:fill="CFE2F3"/>
            <w:tcMar>
              <w:top w:w="43" w:type="dxa"/>
              <w:left w:w="43" w:type="dxa"/>
              <w:bottom w:w="43" w:type="dxa"/>
              <w:right w:w="43" w:type="dxa"/>
            </w:tcMar>
          </w:tcPr>
          <w:p w:rsidR="00E952EC" w:rsidRDefault="00E952EC">
            <w:pPr>
              <w:jc w:val="center"/>
            </w:pPr>
          </w:p>
        </w:tc>
      </w:tr>
      <w:tr w:rsidR="00E952EC">
        <w:trPr>
          <w:jc w:val="center"/>
        </w:trPr>
        <w:tc>
          <w:tcPr>
            <w:tcW w:w="397" w:type="dxa"/>
            <w:shd w:val="clear" w:color="auto" w:fill="auto"/>
            <w:tcMar>
              <w:top w:w="43" w:type="dxa"/>
              <w:left w:w="43" w:type="dxa"/>
              <w:bottom w:w="43" w:type="dxa"/>
              <w:right w:w="43" w:type="dxa"/>
            </w:tcMar>
          </w:tcPr>
          <w:p w:rsidR="00E952EC" w:rsidRDefault="00E952EC">
            <w:pPr>
              <w:jc w:val="center"/>
              <w:rPr>
                <w:b/>
              </w:rPr>
            </w:pPr>
          </w:p>
        </w:tc>
        <w:tc>
          <w:tcPr>
            <w:tcW w:w="7836" w:type="dxa"/>
            <w:shd w:val="clear" w:color="auto" w:fill="auto"/>
            <w:tcMar>
              <w:top w:w="43" w:type="dxa"/>
              <w:left w:w="43" w:type="dxa"/>
              <w:bottom w:w="43" w:type="dxa"/>
              <w:right w:w="43" w:type="dxa"/>
            </w:tcMar>
          </w:tcPr>
          <w:p w:rsidR="00E952EC" w:rsidRDefault="00EE0C3B">
            <w:r>
              <w:t>almeno un caso asintomatico (circa 80%), casi probabili o confermati</w:t>
            </w:r>
          </w:p>
        </w:tc>
        <w:tc>
          <w:tcPr>
            <w:tcW w:w="777" w:type="dxa"/>
            <w:shd w:val="clear" w:color="auto" w:fill="auto"/>
            <w:tcMar>
              <w:top w:w="43" w:type="dxa"/>
              <w:left w:w="43" w:type="dxa"/>
              <w:bottom w:w="43" w:type="dxa"/>
              <w:right w:w="43" w:type="dxa"/>
            </w:tcMar>
          </w:tcPr>
          <w:p w:rsidR="00E952EC" w:rsidRDefault="00EE0C3B">
            <w:pPr>
              <w:jc w:val="center"/>
            </w:pPr>
            <w:r>
              <w:t>5</w:t>
            </w:r>
          </w:p>
        </w:tc>
      </w:tr>
      <w:tr w:rsidR="00E952EC">
        <w:trPr>
          <w:jc w:val="center"/>
        </w:trPr>
        <w:tc>
          <w:tcPr>
            <w:tcW w:w="397" w:type="dxa"/>
            <w:shd w:val="clear" w:color="auto" w:fill="auto"/>
            <w:tcMar>
              <w:top w:w="43" w:type="dxa"/>
              <w:left w:w="43" w:type="dxa"/>
              <w:bottom w:w="43" w:type="dxa"/>
              <w:right w:w="43" w:type="dxa"/>
            </w:tcMar>
          </w:tcPr>
          <w:p w:rsidR="00E952EC" w:rsidRDefault="00E952EC">
            <w:pPr>
              <w:jc w:val="center"/>
              <w:rPr>
                <w:b/>
              </w:rPr>
            </w:pPr>
          </w:p>
        </w:tc>
        <w:tc>
          <w:tcPr>
            <w:tcW w:w="7836" w:type="dxa"/>
            <w:shd w:val="clear" w:color="auto" w:fill="auto"/>
            <w:tcMar>
              <w:top w:w="43" w:type="dxa"/>
              <w:left w:w="43" w:type="dxa"/>
              <w:bottom w:w="43" w:type="dxa"/>
              <w:right w:w="43" w:type="dxa"/>
            </w:tcMar>
          </w:tcPr>
          <w:p w:rsidR="00E952EC" w:rsidRDefault="00EE0C3B">
            <w:r>
              <w:t>almeno un caso sintomatico (circa 20%), casi probabili o confermati</w:t>
            </w:r>
          </w:p>
        </w:tc>
        <w:tc>
          <w:tcPr>
            <w:tcW w:w="777" w:type="dxa"/>
            <w:shd w:val="clear" w:color="auto" w:fill="auto"/>
            <w:tcMar>
              <w:top w:w="43" w:type="dxa"/>
              <w:left w:w="43" w:type="dxa"/>
              <w:bottom w:w="43" w:type="dxa"/>
              <w:right w:w="43" w:type="dxa"/>
            </w:tcMar>
          </w:tcPr>
          <w:p w:rsidR="00E952EC" w:rsidRDefault="00EE0C3B">
            <w:pPr>
              <w:jc w:val="center"/>
            </w:pPr>
            <w:r>
              <w:t>10</w:t>
            </w:r>
          </w:p>
        </w:tc>
      </w:tr>
      <w:tr w:rsidR="00E952EC">
        <w:trPr>
          <w:jc w:val="center"/>
        </w:trPr>
        <w:tc>
          <w:tcPr>
            <w:tcW w:w="397" w:type="dxa"/>
            <w:shd w:val="clear" w:color="auto" w:fill="auto"/>
            <w:tcMar>
              <w:top w:w="43" w:type="dxa"/>
              <w:left w:w="43" w:type="dxa"/>
              <w:bottom w:w="43" w:type="dxa"/>
              <w:right w:w="43" w:type="dxa"/>
            </w:tcMar>
          </w:tcPr>
          <w:p w:rsidR="00E952EC" w:rsidRDefault="00E952EC">
            <w:pPr>
              <w:jc w:val="center"/>
              <w:rPr>
                <w:b/>
              </w:rPr>
            </w:pPr>
          </w:p>
        </w:tc>
        <w:tc>
          <w:tcPr>
            <w:tcW w:w="7836" w:type="dxa"/>
            <w:shd w:val="clear" w:color="auto" w:fill="auto"/>
            <w:tcMar>
              <w:top w:w="43" w:type="dxa"/>
              <w:left w:w="43" w:type="dxa"/>
              <w:bottom w:w="43" w:type="dxa"/>
              <w:right w:w="43" w:type="dxa"/>
            </w:tcMar>
          </w:tcPr>
          <w:p w:rsidR="00E952EC" w:rsidRDefault="00EE0C3B">
            <w:r>
              <w:t>almeno una forma neuroinvasiva (&lt;1% casi), casi probabili o confermati</w:t>
            </w:r>
          </w:p>
        </w:tc>
        <w:tc>
          <w:tcPr>
            <w:tcW w:w="777" w:type="dxa"/>
            <w:shd w:val="clear" w:color="auto" w:fill="auto"/>
            <w:tcMar>
              <w:top w:w="43" w:type="dxa"/>
              <w:left w:w="43" w:type="dxa"/>
              <w:bottom w:w="43" w:type="dxa"/>
              <w:right w:w="43" w:type="dxa"/>
            </w:tcMar>
          </w:tcPr>
          <w:p w:rsidR="00E952EC" w:rsidRDefault="00EE0C3B">
            <w:pPr>
              <w:jc w:val="center"/>
            </w:pPr>
            <w:r>
              <w:t>20</w:t>
            </w:r>
          </w:p>
        </w:tc>
      </w:tr>
      <w:tr w:rsidR="00E952EC">
        <w:trPr>
          <w:jc w:val="center"/>
        </w:trPr>
        <w:tc>
          <w:tcPr>
            <w:tcW w:w="397" w:type="dxa"/>
            <w:shd w:val="clear" w:color="auto" w:fill="auto"/>
            <w:tcMar>
              <w:top w:w="43" w:type="dxa"/>
              <w:left w:w="43" w:type="dxa"/>
              <w:bottom w:w="43" w:type="dxa"/>
              <w:right w:w="43" w:type="dxa"/>
            </w:tcMar>
          </w:tcPr>
          <w:p w:rsidR="00E952EC" w:rsidRDefault="00E952EC">
            <w:pPr>
              <w:jc w:val="center"/>
            </w:pPr>
          </w:p>
        </w:tc>
        <w:tc>
          <w:tcPr>
            <w:tcW w:w="7836" w:type="dxa"/>
            <w:shd w:val="clear" w:color="auto" w:fill="auto"/>
            <w:tcMar>
              <w:top w:w="43" w:type="dxa"/>
              <w:left w:w="43" w:type="dxa"/>
              <w:bottom w:w="43" w:type="dxa"/>
              <w:right w:w="43" w:type="dxa"/>
            </w:tcMar>
          </w:tcPr>
          <w:p w:rsidR="00E952EC" w:rsidRDefault="00EE0C3B">
            <w:r>
              <w:t>Per ogni cluster</w:t>
            </w:r>
            <w:r>
              <w:rPr>
                <w:vertAlign w:val="superscript"/>
              </w:rPr>
              <w:footnoteReference w:id="3"/>
            </w:r>
            <w:r>
              <w:t xml:space="preserve"> verificatosi nel comune/circoscrizione considerato negli ultimi 21 giorni</w:t>
            </w:r>
          </w:p>
        </w:tc>
        <w:tc>
          <w:tcPr>
            <w:tcW w:w="777" w:type="dxa"/>
            <w:shd w:val="clear" w:color="auto" w:fill="auto"/>
            <w:tcMar>
              <w:top w:w="43" w:type="dxa"/>
              <w:left w:w="43" w:type="dxa"/>
              <w:bottom w:w="43" w:type="dxa"/>
              <w:right w:w="43" w:type="dxa"/>
            </w:tcMar>
          </w:tcPr>
          <w:p w:rsidR="00E952EC" w:rsidRDefault="00EE0C3B">
            <w:pPr>
              <w:jc w:val="center"/>
            </w:pPr>
            <w:r>
              <w:t>10</w:t>
            </w:r>
          </w:p>
        </w:tc>
      </w:tr>
      <w:tr w:rsidR="00E952EC">
        <w:trPr>
          <w:jc w:val="center"/>
        </w:trPr>
        <w:tc>
          <w:tcPr>
            <w:tcW w:w="397" w:type="dxa"/>
            <w:shd w:val="clear" w:color="auto" w:fill="CFE2F3"/>
            <w:tcMar>
              <w:top w:w="43" w:type="dxa"/>
              <w:left w:w="43" w:type="dxa"/>
              <w:bottom w:w="43" w:type="dxa"/>
              <w:right w:w="43" w:type="dxa"/>
            </w:tcMar>
          </w:tcPr>
          <w:p w:rsidR="00E952EC" w:rsidRDefault="00EE0C3B">
            <w:pPr>
              <w:jc w:val="center"/>
              <w:rPr>
                <w:b/>
              </w:rPr>
            </w:pPr>
            <w:r>
              <w:rPr>
                <w:b/>
              </w:rPr>
              <w:t>B</w:t>
            </w:r>
          </w:p>
        </w:tc>
        <w:tc>
          <w:tcPr>
            <w:tcW w:w="7836" w:type="dxa"/>
            <w:shd w:val="clear" w:color="auto" w:fill="CFE2F3"/>
            <w:tcMar>
              <w:top w:w="43" w:type="dxa"/>
              <w:left w:w="43" w:type="dxa"/>
              <w:bottom w:w="43" w:type="dxa"/>
              <w:right w:w="43" w:type="dxa"/>
            </w:tcMar>
          </w:tcPr>
          <w:p w:rsidR="00E952EC" w:rsidRDefault="00EE0C3B">
            <w:pPr>
              <w:rPr>
                <w:b/>
              </w:rPr>
            </w:pPr>
            <w:r>
              <w:rPr>
                <w:b/>
              </w:rPr>
              <w:t>Presenza di casi animali (equidi) nell’area interessata dall’inizio della stagione</w:t>
            </w:r>
          </w:p>
        </w:tc>
        <w:tc>
          <w:tcPr>
            <w:tcW w:w="777" w:type="dxa"/>
            <w:shd w:val="clear" w:color="auto" w:fill="CFE2F3"/>
            <w:tcMar>
              <w:top w:w="43" w:type="dxa"/>
              <w:left w:w="43" w:type="dxa"/>
              <w:bottom w:w="43" w:type="dxa"/>
              <w:right w:w="43" w:type="dxa"/>
            </w:tcMar>
          </w:tcPr>
          <w:p w:rsidR="00E952EC" w:rsidRDefault="00E952EC">
            <w:pPr>
              <w:jc w:val="center"/>
              <w:rPr>
                <w:b/>
              </w:rPr>
            </w:pPr>
          </w:p>
        </w:tc>
      </w:tr>
      <w:tr w:rsidR="00E952EC">
        <w:trPr>
          <w:jc w:val="center"/>
        </w:trPr>
        <w:tc>
          <w:tcPr>
            <w:tcW w:w="397" w:type="dxa"/>
            <w:shd w:val="clear" w:color="auto" w:fill="auto"/>
            <w:tcMar>
              <w:top w:w="43" w:type="dxa"/>
              <w:left w:w="43" w:type="dxa"/>
              <w:bottom w:w="43" w:type="dxa"/>
              <w:right w:w="43" w:type="dxa"/>
            </w:tcMar>
          </w:tcPr>
          <w:p w:rsidR="00E952EC" w:rsidRDefault="00E952EC">
            <w:pPr>
              <w:jc w:val="center"/>
              <w:rPr>
                <w:b/>
              </w:rPr>
            </w:pPr>
          </w:p>
        </w:tc>
        <w:tc>
          <w:tcPr>
            <w:tcW w:w="7836" w:type="dxa"/>
            <w:shd w:val="clear" w:color="auto" w:fill="auto"/>
            <w:tcMar>
              <w:top w:w="43" w:type="dxa"/>
              <w:left w:w="43" w:type="dxa"/>
              <w:bottom w:w="43" w:type="dxa"/>
              <w:right w:w="43" w:type="dxa"/>
            </w:tcMar>
          </w:tcPr>
          <w:p w:rsidR="00E952EC" w:rsidRDefault="00EE0C3B">
            <w:r>
              <w:t>almeno un caso tra gli casi equidi</w:t>
            </w:r>
          </w:p>
        </w:tc>
        <w:tc>
          <w:tcPr>
            <w:tcW w:w="777" w:type="dxa"/>
            <w:shd w:val="clear" w:color="auto" w:fill="auto"/>
            <w:tcMar>
              <w:top w:w="43" w:type="dxa"/>
              <w:left w:w="43" w:type="dxa"/>
              <w:bottom w:w="43" w:type="dxa"/>
              <w:right w:w="43" w:type="dxa"/>
            </w:tcMar>
          </w:tcPr>
          <w:p w:rsidR="00E952EC" w:rsidRDefault="00EE0C3B">
            <w:pPr>
              <w:jc w:val="center"/>
            </w:pPr>
            <w:r>
              <w:t>5</w:t>
            </w:r>
          </w:p>
        </w:tc>
      </w:tr>
      <w:tr w:rsidR="00E952EC">
        <w:trPr>
          <w:jc w:val="center"/>
        </w:trPr>
        <w:tc>
          <w:tcPr>
            <w:tcW w:w="397" w:type="dxa"/>
            <w:shd w:val="clear" w:color="auto" w:fill="CFE2F3"/>
            <w:tcMar>
              <w:top w:w="43" w:type="dxa"/>
              <w:left w:w="43" w:type="dxa"/>
              <w:bottom w:w="43" w:type="dxa"/>
              <w:right w:w="43" w:type="dxa"/>
            </w:tcMar>
          </w:tcPr>
          <w:p w:rsidR="00E952EC" w:rsidRDefault="00EE0C3B">
            <w:pPr>
              <w:jc w:val="center"/>
              <w:rPr>
                <w:b/>
              </w:rPr>
            </w:pPr>
            <w:r>
              <w:rPr>
                <w:b/>
              </w:rPr>
              <w:t>C</w:t>
            </w:r>
          </w:p>
        </w:tc>
        <w:tc>
          <w:tcPr>
            <w:tcW w:w="7836" w:type="dxa"/>
            <w:shd w:val="clear" w:color="auto" w:fill="CFE2F3"/>
            <w:tcMar>
              <w:top w:w="43" w:type="dxa"/>
              <w:left w:w="43" w:type="dxa"/>
              <w:bottom w:w="43" w:type="dxa"/>
              <w:right w:w="43" w:type="dxa"/>
            </w:tcMar>
          </w:tcPr>
          <w:p w:rsidR="00E952EC" w:rsidRDefault="00EE0C3B">
            <w:pPr>
              <w:rPr>
                <w:b/>
              </w:rPr>
            </w:pPr>
            <w:r>
              <w:rPr>
                <w:b/>
              </w:rPr>
              <w:t>Rilevazione di ospiti di amplificazione positivi per WNV dall’inizio della stagione</w:t>
            </w:r>
          </w:p>
        </w:tc>
        <w:tc>
          <w:tcPr>
            <w:tcW w:w="777" w:type="dxa"/>
            <w:shd w:val="clear" w:color="auto" w:fill="CFE2F3"/>
            <w:tcMar>
              <w:top w:w="43" w:type="dxa"/>
              <w:left w:w="43" w:type="dxa"/>
              <w:bottom w:w="43" w:type="dxa"/>
              <w:right w:w="43" w:type="dxa"/>
            </w:tcMar>
          </w:tcPr>
          <w:p w:rsidR="00E952EC" w:rsidRDefault="00E952EC">
            <w:pPr>
              <w:jc w:val="center"/>
              <w:rPr>
                <w:b/>
              </w:rPr>
            </w:pPr>
          </w:p>
        </w:tc>
      </w:tr>
      <w:tr w:rsidR="00E952EC">
        <w:trPr>
          <w:jc w:val="center"/>
        </w:trPr>
        <w:tc>
          <w:tcPr>
            <w:tcW w:w="397" w:type="dxa"/>
            <w:shd w:val="clear" w:color="auto" w:fill="auto"/>
            <w:tcMar>
              <w:top w:w="43" w:type="dxa"/>
              <w:left w:w="43" w:type="dxa"/>
              <w:bottom w:w="43" w:type="dxa"/>
              <w:right w:w="43" w:type="dxa"/>
            </w:tcMar>
          </w:tcPr>
          <w:p w:rsidR="00E952EC" w:rsidRDefault="00E952EC">
            <w:pPr>
              <w:jc w:val="center"/>
            </w:pPr>
          </w:p>
        </w:tc>
        <w:tc>
          <w:tcPr>
            <w:tcW w:w="7836" w:type="dxa"/>
            <w:shd w:val="clear" w:color="auto" w:fill="auto"/>
            <w:tcMar>
              <w:top w:w="43" w:type="dxa"/>
              <w:left w:w="43" w:type="dxa"/>
              <w:bottom w:w="43" w:type="dxa"/>
              <w:right w:w="43" w:type="dxa"/>
            </w:tcMar>
          </w:tcPr>
          <w:p w:rsidR="00E952EC" w:rsidRDefault="00EE0C3B">
            <w:r>
              <w:t xml:space="preserve">Riscontro  di positività in 1 o più ospiti amplificatori o serbatoio (uccelli viremici) </w:t>
            </w:r>
          </w:p>
        </w:tc>
        <w:tc>
          <w:tcPr>
            <w:tcW w:w="777" w:type="dxa"/>
            <w:shd w:val="clear" w:color="auto" w:fill="auto"/>
            <w:tcMar>
              <w:top w:w="43" w:type="dxa"/>
              <w:left w:w="43" w:type="dxa"/>
              <w:bottom w:w="43" w:type="dxa"/>
              <w:right w:w="43" w:type="dxa"/>
            </w:tcMar>
          </w:tcPr>
          <w:p w:rsidR="00E952EC" w:rsidRDefault="00EE0C3B">
            <w:pPr>
              <w:jc w:val="center"/>
            </w:pPr>
            <w:r>
              <w:t>10</w:t>
            </w:r>
          </w:p>
        </w:tc>
      </w:tr>
      <w:tr w:rsidR="00E952EC">
        <w:trPr>
          <w:trHeight w:val="240"/>
          <w:jc w:val="center"/>
        </w:trPr>
        <w:tc>
          <w:tcPr>
            <w:tcW w:w="397" w:type="dxa"/>
            <w:shd w:val="clear" w:color="auto" w:fill="CFE2F3"/>
            <w:tcMar>
              <w:top w:w="43" w:type="dxa"/>
              <w:left w:w="43" w:type="dxa"/>
              <w:bottom w:w="43" w:type="dxa"/>
              <w:right w:w="43" w:type="dxa"/>
            </w:tcMar>
            <w:vAlign w:val="center"/>
          </w:tcPr>
          <w:p w:rsidR="00E952EC" w:rsidRDefault="00EE0C3B">
            <w:pPr>
              <w:jc w:val="center"/>
              <w:rPr>
                <w:b/>
              </w:rPr>
            </w:pPr>
            <w:r>
              <w:rPr>
                <w:b/>
              </w:rPr>
              <w:t>D</w:t>
            </w:r>
          </w:p>
        </w:tc>
        <w:tc>
          <w:tcPr>
            <w:tcW w:w="7836" w:type="dxa"/>
            <w:shd w:val="clear" w:color="auto" w:fill="CFE2F3"/>
            <w:tcMar>
              <w:top w:w="43" w:type="dxa"/>
              <w:left w:w="43" w:type="dxa"/>
              <w:bottom w:w="43" w:type="dxa"/>
              <w:right w:w="43" w:type="dxa"/>
            </w:tcMar>
          </w:tcPr>
          <w:p w:rsidR="00E952EC" w:rsidRDefault="00EE0C3B">
            <w:pPr>
              <w:rPr>
                <w:b/>
              </w:rPr>
            </w:pPr>
            <w:r>
              <w:rPr>
                <w:b/>
              </w:rPr>
              <w:t>Rilevazione di positività del vettore dal monitoraggio delle trappole</w:t>
            </w:r>
          </w:p>
        </w:tc>
        <w:tc>
          <w:tcPr>
            <w:tcW w:w="777" w:type="dxa"/>
            <w:shd w:val="clear" w:color="auto" w:fill="CFE2F3"/>
            <w:tcMar>
              <w:top w:w="43" w:type="dxa"/>
              <w:left w:w="43" w:type="dxa"/>
              <w:bottom w:w="43" w:type="dxa"/>
              <w:right w:w="43" w:type="dxa"/>
            </w:tcMar>
          </w:tcPr>
          <w:p w:rsidR="00E952EC" w:rsidRDefault="00E952EC">
            <w:pPr>
              <w:rPr>
                <w:b/>
              </w:rPr>
            </w:pPr>
          </w:p>
        </w:tc>
      </w:tr>
      <w:tr w:rsidR="00E952EC">
        <w:trPr>
          <w:jc w:val="center"/>
        </w:trPr>
        <w:tc>
          <w:tcPr>
            <w:tcW w:w="397" w:type="dxa"/>
            <w:shd w:val="clear" w:color="auto" w:fill="auto"/>
            <w:tcMar>
              <w:top w:w="43" w:type="dxa"/>
              <w:left w:w="43" w:type="dxa"/>
              <w:bottom w:w="43" w:type="dxa"/>
              <w:right w:w="43" w:type="dxa"/>
            </w:tcMar>
          </w:tcPr>
          <w:p w:rsidR="00E952EC" w:rsidRDefault="00E952EC">
            <w:pPr>
              <w:jc w:val="center"/>
            </w:pPr>
          </w:p>
        </w:tc>
        <w:tc>
          <w:tcPr>
            <w:tcW w:w="7836" w:type="dxa"/>
            <w:shd w:val="clear" w:color="auto" w:fill="auto"/>
            <w:tcMar>
              <w:top w:w="43" w:type="dxa"/>
              <w:left w:w="43" w:type="dxa"/>
              <w:bottom w:w="43" w:type="dxa"/>
              <w:right w:w="43" w:type="dxa"/>
            </w:tcMar>
          </w:tcPr>
          <w:p w:rsidR="00E952EC" w:rsidRDefault="00EE0C3B">
            <w:r>
              <w:t>Riscontro di pool (≥ 1) di zanzare positive a WNV di monitoraggio delle trappole</w:t>
            </w:r>
          </w:p>
        </w:tc>
        <w:tc>
          <w:tcPr>
            <w:tcW w:w="777" w:type="dxa"/>
            <w:shd w:val="clear" w:color="auto" w:fill="auto"/>
            <w:tcMar>
              <w:top w:w="43" w:type="dxa"/>
              <w:left w:w="43" w:type="dxa"/>
              <w:bottom w:w="43" w:type="dxa"/>
              <w:right w:w="43" w:type="dxa"/>
            </w:tcMar>
            <w:vAlign w:val="center"/>
          </w:tcPr>
          <w:p w:rsidR="00E952EC" w:rsidRDefault="00EE0C3B">
            <w:pPr>
              <w:jc w:val="center"/>
            </w:pPr>
            <w:r>
              <w:t>10</w:t>
            </w:r>
          </w:p>
        </w:tc>
      </w:tr>
      <w:tr w:rsidR="00E952EC">
        <w:trPr>
          <w:jc w:val="center"/>
        </w:trPr>
        <w:tc>
          <w:tcPr>
            <w:tcW w:w="397" w:type="dxa"/>
            <w:shd w:val="clear" w:color="auto" w:fill="CFE2F3"/>
            <w:tcMar>
              <w:top w:w="43" w:type="dxa"/>
              <w:left w:w="43" w:type="dxa"/>
              <w:bottom w:w="43" w:type="dxa"/>
              <w:right w:w="43" w:type="dxa"/>
            </w:tcMar>
          </w:tcPr>
          <w:p w:rsidR="00E952EC" w:rsidRDefault="00EE0C3B">
            <w:pPr>
              <w:jc w:val="center"/>
              <w:rPr>
                <w:b/>
              </w:rPr>
            </w:pPr>
            <w:r>
              <w:rPr>
                <w:b/>
              </w:rPr>
              <w:t>E</w:t>
            </w:r>
          </w:p>
        </w:tc>
        <w:tc>
          <w:tcPr>
            <w:tcW w:w="7836" w:type="dxa"/>
            <w:shd w:val="clear" w:color="auto" w:fill="CFE2F3"/>
            <w:tcMar>
              <w:top w:w="43" w:type="dxa"/>
              <w:left w:w="43" w:type="dxa"/>
              <w:bottom w:w="43" w:type="dxa"/>
              <w:right w:w="43" w:type="dxa"/>
            </w:tcMar>
          </w:tcPr>
          <w:p w:rsidR="00E952EC" w:rsidRDefault="00EE0C3B">
            <w:pPr>
              <w:rPr>
                <w:color w:val="FF0000"/>
              </w:rPr>
            </w:pPr>
            <w:r>
              <w:rPr>
                <w:b/>
              </w:rPr>
              <w:t xml:space="preserve">Densità abitativa dell’area interessata dai casi </w:t>
            </w:r>
          </w:p>
          <w:p w:rsidR="00E952EC" w:rsidRDefault="00EE0C3B">
            <w:pPr>
              <w:jc w:val="left"/>
              <w:rPr>
                <w:i/>
                <w:sz w:val="18"/>
                <w:szCs w:val="18"/>
              </w:rPr>
            </w:pPr>
            <w:r>
              <w:rPr>
                <w:i/>
                <w:sz w:val="18"/>
                <w:szCs w:val="18"/>
              </w:rPr>
              <w:t>La densità abitativa è calcolata sul comune</w:t>
            </w:r>
            <w:r>
              <w:rPr>
                <w:b/>
                <w:i/>
                <w:sz w:val="18"/>
                <w:szCs w:val="18"/>
              </w:rPr>
              <w:t xml:space="preserve">. </w:t>
            </w:r>
            <w:r>
              <w:rPr>
                <w:i/>
                <w:sz w:val="18"/>
                <w:szCs w:val="18"/>
              </w:rPr>
              <w:t>Se nell’area interessata non si sono verificati casi umani o animali, il punteggio legato alla densità abitativa non va considerato nel computo totale</w:t>
            </w:r>
          </w:p>
        </w:tc>
        <w:tc>
          <w:tcPr>
            <w:tcW w:w="777" w:type="dxa"/>
            <w:shd w:val="clear" w:color="auto" w:fill="CFE2F3"/>
            <w:tcMar>
              <w:top w:w="43" w:type="dxa"/>
              <w:left w:w="43" w:type="dxa"/>
              <w:bottom w:w="43" w:type="dxa"/>
              <w:right w:w="43" w:type="dxa"/>
            </w:tcMar>
          </w:tcPr>
          <w:p w:rsidR="00E952EC" w:rsidRDefault="00E952EC">
            <w:pPr>
              <w:jc w:val="center"/>
              <w:rPr>
                <w:b/>
              </w:rPr>
            </w:pPr>
          </w:p>
        </w:tc>
      </w:tr>
      <w:tr w:rsidR="00E952EC">
        <w:trPr>
          <w:jc w:val="center"/>
        </w:trPr>
        <w:tc>
          <w:tcPr>
            <w:tcW w:w="397" w:type="dxa"/>
            <w:shd w:val="clear" w:color="auto" w:fill="auto"/>
            <w:tcMar>
              <w:top w:w="43" w:type="dxa"/>
              <w:left w:w="43" w:type="dxa"/>
              <w:bottom w:w="43" w:type="dxa"/>
              <w:right w:w="43" w:type="dxa"/>
            </w:tcMar>
          </w:tcPr>
          <w:p w:rsidR="00E952EC" w:rsidRDefault="00E952EC"/>
        </w:tc>
        <w:tc>
          <w:tcPr>
            <w:tcW w:w="7836" w:type="dxa"/>
            <w:shd w:val="clear" w:color="auto" w:fill="auto"/>
            <w:tcMar>
              <w:top w:w="43" w:type="dxa"/>
              <w:left w:w="43" w:type="dxa"/>
              <w:bottom w:w="43" w:type="dxa"/>
              <w:right w:w="43" w:type="dxa"/>
            </w:tcMar>
          </w:tcPr>
          <w:p w:rsidR="00E952EC" w:rsidRDefault="00EE0C3B">
            <w:r>
              <w:t>&lt;300 ab/km</w:t>
            </w:r>
            <w:r>
              <w:rPr>
                <w:vertAlign w:val="superscript"/>
              </w:rPr>
              <w:t>2</w:t>
            </w:r>
          </w:p>
        </w:tc>
        <w:tc>
          <w:tcPr>
            <w:tcW w:w="777" w:type="dxa"/>
            <w:shd w:val="clear" w:color="auto" w:fill="auto"/>
            <w:tcMar>
              <w:top w:w="43" w:type="dxa"/>
              <w:left w:w="43" w:type="dxa"/>
              <w:bottom w:w="43" w:type="dxa"/>
              <w:right w:w="43" w:type="dxa"/>
            </w:tcMar>
          </w:tcPr>
          <w:p w:rsidR="00E952EC" w:rsidRDefault="00EE0C3B">
            <w:pPr>
              <w:jc w:val="center"/>
            </w:pPr>
            <w:r>
              <w:t>0</w:t>
            </w:r>
          </w:p>
        </w:tc>
      </w:tr>
      <w:tr w:rsidR="00E952EC">
        <w:trPr>
          <w:jc w:val="center"/>
        </w:trPr>
        <w:tc>
          <w:tcPr>
            <w:tcW w:w="397" w:type="dxa"/>
            <w:shd w:val="clear" w:color="auto" w:fill="auto"/>
            <w:tcMar>
              <w:top w:w="43" w:type="dxa"/>
              <w:left w:w="43" w:type="dxa"/>
              <w:bottom w:w="43" w:type="dxa"/>
              <w:right w:w="43" w:type="dxa"/>
            </w:tcMar>
          </w:tcPr>
          <w:p w:rsidR="00E952EC" w:rsidRDefault="00E952EC"/>
        </w:tc>
        <w:tc>
          <w:tcPr>
            <w:tcW w:w="7836" w:type="dxa"/>
            <w:shd w:val="clear" w:color="auto" w:fill="auto"/>
            <w:tcMar>
              <w:top w:w="43" w:type="dxa"/>
              <w:left w:w="43" w:type="dxa"/>
              <w:bottom w:w="43" w:type="dxa"/>
              <w:right w:w="43" w:type="dxa"/>
            </w:tcMar>
          </w:tcPr>
          <w:p w:rsidR="00E952EC" w:rsidRDefault="00EE0C3B">
            <w:r>
              <w:t>300-599 ab/km</w:t>
            </w:r>
            <w:r>
              <w:rPr>
                <w:vertAlign w:val="superscript"/>
              </w:rPr>
              <w:t>2</w:t>
            </w:r>
          </w:p>
        </w:tc>
        <w:tc>
          <w:tcPr>
            <w:tcW w:w="777" w:type="dxa"/>
            <w:shd w:val="clear" w:color="auto" w:fill="auto"/>
            <w:tcMar>
              <w:top w:w="43" w:type="dxa"/>
              <w:left w:w="43" w:type="dxa"/>
              <w:bottom w:w="43" w:type="dxa"/>
              <w:right w:w="43" w:type="dxa"/>
            </w:tcMar>
          </w:tcPr>
          <w:p w:rsidR="00E952EC" w:rsidRDefault="00EE0C3B">
            <w:pPr>
              <w:jc w:val="center"/>
            </w:pPr>
            <w:r>
              <w:t>15</w:t>
            </w:r>
          </w:p>
        </w:tc>
      </w:tr>
      <w:tr w:rsidR="00E952EC">
        <w:trPr>
          <w:jc w:val="center"/>
        </w:trPr>
        <w:tc>
          <w:tcPr>
            <w:tcW w:w="397" w:type="dxa"/>
            <w:shd w:val="clear" w:color="auto" w:fill="auto"/>
            <w:tcMar>
              <w:top w:w="43" w:type="dxa"/>
              <w:left w:w="43" w:type="dxa"/>
              <w:bottom w:w="43" w:type="dxa"/>
              <w:right w:w="43" w:type="dxa"/>
            </w:tcMar>
          </w:tcPr>
          <w:p w:rsidR="00E952EC" w:rsidRDefault="00E952EC"/>
        </w:tc>
        <w:tc>
          <w:tcPr>
            <w:tcW w:w="7836" w:type="dxa"/>
            <w:shd w:val="clear" w:color="auto" w:fill="auto"/>
            <w:tcMar>
              <w:top w:w="43" w:type="dxa"/>
              <w:left w:w="43" w:type="dxa"/>
              <w:bottom w:w="43" w:type="dxa"/>
              <w:right w:w="43" w:type="dxa"/>
            </w:tcMar>
          </w:tcPr>
          <w:p w:rsidR="00E952EC" w:rsidRDefault="00EE0C3B">
            <w:r>
              <w:t>600-899 ab/km</w:t>
            </w:r>
            <w:r>
              <w:rPr>
                <w:vertAlign w:val="superscript"/>
              </w:rPr>
              <w:t>2</w:t>
            </w:r>
          </w:p>
        </w:tc>
        <w:tc>
          <w:tcPr>
            <w:tcW w:w="777" w:type="dxa"/>
            <w:shd w:val="clear" w:color="auto" w:fill="auto"/>
            <w:tcMar>
              <w:top w:w="43" w:type="dxa"/>
              <w:left w:w="43" w:type="dxa"/>
              <w:bottom w:w="43" w:type="dxa"/>
              <w:right w:w="43" w:type="dxa"/>
            </w:tcMar>
          </w:tcPr>
          <w:p w:rsidR="00E952EC" w:rsidRDefault="00EE0C3B">
            <w:pPr>
              <w:jc w:val="center"/>
            </w:pPr>
            <w:r>
              <w:t>30</w:t>
            </w:r>
          </w:p>
        </w:tc>
      </w:tr>
      <w:tr w:rsidR="00E952EC">
        <w:trPr>
          <w:jc w:val="center"/>
        </w:trPr>
        <w:tc>
          <w:tcPr>
            <w:tcW w:w="397" w:type="dxa"/>
            <w:shd w:val="clear" w:color="auto" w:fill="auto"/>
            <w:tcMar>
              <w:top w:w="43" w:type="dxa"/>
              <w:left w:w="43" w:type="dxa"/>
              <w:bottom w:w="43" w:type="dxa"/>
              <w:right w:w="43" w:type="dxa"/>
            </w:tcMar>
          </w:tcPr>
          <w:p w:rsidR="00E952EC" w:rsidRDefault="00E952EC"/>
        </w:tc>
        <w:tc>
          <w:tcPr>
            <w:tcW w:w="7836" w:type="dxa"/>
            <w:shd w:val="clear" w:color="auto" w:fill="auto"/>
            <w:tcMar>
              <w:top w:w="43" w:type="dxa"/>
              <w:left w:w="43" w:type="dxa"/>
              <w:bottom w:w="43" w:type="dxa"/>
              <w:right w:w="43" w:type="dxa"/>
            </w:tcMar>
          </w:tcPr>
          <w:p w:rsidR="00E952EC" w:rsidRDefault="00EE0C3B">
            <w:r>
              <w:t>≥ 900 ab/km</w:t>
            </w:r>
            <w:r>
              <w:rPr>
                <w:vertAlign w:val="superscript"/>
              </w:rPr>
              <w:t>2</w:t>
            </w:r>
          </w:p>
        </w:tc>
        <w:tc>
          <w:tcPr>
            <w:tcW w:w="777" w:type="dxa"/>
            <w:shd w:val="clear" w:color="auto" w:fill="auto"/>
            <w:tcMar>
              <w:top w:w="43" w:type="dxa"/>
              <w:left w:w="43" w:type="dxa"/>
              <w:bottom w:w="43" w:type="dxa"/>
              <w:right w:w="43" w:type="dxa"/>
            </w:tcMar>
          </w:tcPr>
          <w:p w:rsidR="00E952EC" w:rsidRDefault="00EE0C3B">
            <w:pPr>
              <w:jc w:val="center"/>
            </w:pPr>
            <w:r>
              <w:t>45</w:t>
            </w:r>
          </w:p>
        </w:tc>
      </w:tr>
    </w:tbl>
    <w:p w:rsidR="00E952EC" w:rsidRDefault="00E952EC">
      <w:pPr>
        <w:spacing w:before="240" w:after="240"/>
      </w:pPr>
    </w:p>
    <w:p w:rsidR="00E952EC" w:rsidRDefault="00E952EC">
      <w:pPr>
        <w:spacing w:before="240" w:after="240"/>
      </w:pPr>
    </w:p>
    <w:p w:rsidR="00E952EC" w:rsidRDefault="00E952EC">
      <w:pPr>
        <w:spacing w:before="240" w:after="240"/>
      </w:pPr>
    </w:p>
    <w:p w:rsidR="00E952EC" w:rsidRDefault="00E952EC">
      <w:pPr>
        <w:spacing w:before="240" w:after="240"/>
      </w:pPr>
    </w:p>
    <w:p w:rsidR="00E952EC" w:rsidRDefault="00EE0C3B">
      <w:pPr>
        <w:spacing w:before="240" w:after="240"/>
      </w:pPr>
      <w:r>
        <w:t>Il punteggio totale viene definito dallo somma dei punteggi ottenuti per ognuna delle cinque aree di rischio valutate. Il livello di intervento da adottare viene definito secondo la seguente suddivisione:</w:t>
      </w:r>
    </w:p>
    <w:tbl>
      <w:tblPr>
        <w:tblStyle w:val="a2"/>
        <w:tblW w:w="90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86"/>
        <w:gridCol w:w="3471"/>
        <w:gridCol w:w="4771"/>
      </w:tblGrid>
      <w:tr w:rsidR="00E952EC">
        <w:tc>
          <w:tcPr>
            <w:tcW w:w="786" w:type="dxa"/>
            <w:shd w:val="clear" w:color="auto" w:fill="9FC5E8"/>
            <w:tcMar>
              <w:top w:w="43" w:type="dxa"/>
              <w:left w:w="43" w:type="dxa"/>
              <w:bottom w:w="43" w:type="dxa"/>
              <w:right w:w="43" w:type="dxa"/>
            </w:tcMar>
          </w:tcPr>
          <w:p w:rsidR="00E952EC" w:rsidRDefault="00E952EC">
            <w:pPr>
              <w:widowControl w:val="0"/>
              <w:pBdr>
                <w:top w:val="nil"/>
                <w:left w:val="nil"/>
                <w:bottom w:val="nil"/>
                <w:right w:val="nil"/>
                <w:between w:val="nil"/>
              </w:pBdr>
              <w:jc w:val="left"/>
              <w:rPr>
                <w:b/>
              </w:rPr>
            </w:pPr>
          </w:p>
        </w:tc>
        <w:tc>
          <w:tcPr>
            <w:tcW w:w="3471" w:type="dxa"/>
            <w:shd w:val="clear" w:color="auto" w:fill="9FC5E8"/>
            <w:tcMar>
              <w:top w:w="43" w:type="dxa"/>
              <w:left w:w="43" w:type="dxa"/>
              <w:bottom w:w="43" w:type="dxa"/>
              <w:right w:w="43" w:type="dxa"/>
            </w:tcMar>
          </w:tcPr>
          <w:p w:rsidR="00E952EC" w:rsidRDefault="00EE0C3B">
            <w:pPr>
              <w:widowControl w:val="0"/>
              <w:pBdr>
                <w:top w:val="nil"/>
                <w:left w:val="nil"/>
                <w:bottom w:val="nil"/>
                <w:right w:val="nil"/>
                <w:between w:val="nil"/>
              </w:pBdr>
              <w:jc w:val="left"/>
              <w:rPr>
                <w:b/>
              </w:rPr>
            </w:pPr>
            <w:r>
              <w:rPr>
                <w:b/>
              </w:rPr>
              <w:t>LIVELLO</w:t>
            </w:r>
          </w:p>
        </w:tc>
        <w:tc>
          <w:tcPr>
            <w:tcW w:w="4770" w:type="dxa"/>
            <w:shd w:val="clear" w:color="auto" w:fill="9FC5E8"/>
            <w:tcMar>
              <w:top w:w="43" w:type="dxa"/>
              <w:left w:w="43" w:type="dxa"/>
              <w:bottom w:w="43" w:type="dxa"/>
              <w:right w:w="43" w:type="dxa"/>
            </w:tcMar>
          </w:tcPr>
          <w:p w:rsidR="00E952EC" w:rsidRDefault="00EE0C3B">
            <w:pPr>
              <w:widowControl w:val="0"/>
              <w:pBdr>
                <w:top w:val="nil"/>
                <w:left w:val="nil"/>
                <w:bottom w:val="nil"/>
                <w:right w:val="nil"/>
                <w:between w:val="nil"/>
              </w:pBdr>
              <w:jc w:val="left"/>
              <w:rPr>
                <w:b/>
              </w:rPr>
            </w:pPr>
            <w:r>
              <w:rPr>
                <w:b/>
              </w:rPr>
              <w:t xml:space="preserve">PUNTEGGIO </w:t>
            </w:r>
          </w:p>
        </w:tc>
      </w:tr>
      <w:tr w:rsidR="00E952EC">
        <w:tc>
          <w:tcPr>
            <w:tcW w:w="786" w:type="dxa"/>
            <w:shd w:val="clear" w:color="auto" w:fill="auto"/>
            <w:tcMar>
              <w:top w:w="43" w:type="dxa"/>
              <w:left w:w="43" w:type="dxa"/>
              <w:bottom w:w="43" w:type="dxa"/>
              <w:right w:w="43" w:type="dxa"/>
            </w:tcMar>
          </w:tcPr>
          <w:p w:rsidR="00E952EC" w:rsidRDefault="00E952EC">
            <w:pPr>
              <w:widowControl w:val="0"/>
              <w:pBdr>
                <w:top w:val="nil"/>
                <w:left w:val="nil"/>
                <w:bottom w:val="nil"/>
                <w:right w:val="nil"/>
                <w:between w:val="nil"/>
              </w:pBdr>
              <w:jc w:val="left"/>
            </w:pPr>
          </w:p>
        </w:tc>
        <w:tc>
          <w:tcPr>
            <w:tcW w:w="3471" w:type="dxa"/>
            <w:shd w:val="clear" w:color="auto" w:fill="auto"/>
            <w:tcMar>
              <w:top w:w="43" w:type="dxa"/>
              <w:left w:w="43" w:type="dxa"/>
              <w:bottom w:w="43" w:type="dxa"/>
              <w:right w:w="43" w:type="dxa"/>
            </w:tcMar>
          </w:tcPr>
          <w:p w:rsidR="00E952EC" w:rsidRDefault="00EE0C3B">
            <w:pPr>
              <w:widowControl w:val="0"/>
              <w:pBdr>
                <w:top w:val="nil"/>
                <w:left w:val="nil"/>
                <w:bottom w:val="nil"/>
                <w:right w:val="nil"/>
                <w:between w:val="nil"/>
              </w:pBdr>
              <w:jc w:val="left"/>
            </w:pPr>
            <w:r>
              <w:t>Livello 1</w:t>
            </w:r>
          </w:p>
        </w:tc>
        <w:tc>
          <w:tcPr>
            <w:tcW w:w="4770" w:type="dxa"/>
            <w:shd w:val="clear" w:color="auto" w:fill="auto"/>
            <w:tcMar>
              <w:top w:w="43" w:type="dxa"/>
              <w:left w:w="43" w:type="dxa"/>
              <w:bottom w:w="43" w:type="dxa"/>
              <w:right w:w="43" w:type="dxa"/>
            </w:tcMar>
          </w:tcPr>
          <w:p w:rsidR="00E952EC" w:rsidRDefault="00EE0C3B">
            <w:r>
              <w:t>0 punti</w:t>
            </w:r>
          </w:p>
        </w:tc>
      </w:tr>
      <w:tr w:rsidR="00E952EC">
        <w:tc>
          <w:tcPr>
            <w:tcW w:w="786" w:type="dxa"/>
            <w:shd w:val="clear" w:color="auto" w:fill="FFFF00"/>
            <w:tcMar>
              <w:top w:w="43" w:type="dxa"/>
              <w:left w:w="43" w:type="dxa"/>
              <w:bottom w:w="43" w:type="dxa"/>
              <w:right w:w="43" w:type="dxa"/>
            </w:tcMar>
          </w:tcPr>
          <w:p w:rsidR="00E952EC" w:rsidRDefault="00E952EC">
            <w:pPr>
              <w:widowControl w:val="0"/>
              <w:pBdr>
                <w:top w:val="nil"/>
                <w:left w:val="nil"/>
                <w:bottom w:val="nil"/>
                <w:right w:val="nil"/>
                <w:between w:val="nil"/>
              </w:pBdr>
              <w:jc w:val="left"/>
            </w:pPr>
          </w:p>
        </w:tc>
        <w:tc>
          <w:tcPr>
            <w:tcW w:w="3471" w:type="dxa"/>
            <w:shd w:val="clear" w:color="auto" w:fill="auto"/>
            <w:tcMar>
              <w:top w:w="43" w:type="dxa"/>
              <w:left w:w="43" w:type="dxa"/>
              <w:bottom w:w="43" w:type="dxa"/>
              <w:right w:w="43" w:type="dxa"/>
            </w:tcMar>
          </w:tcPr>
          <w:p w:rsidR="00E952EC" w:rsidRDefault="00EE0C3B">
            <w:pPr>
              <w:widowControl w:val="0"/>
              <w:pBdr>
                <w:top w:val="nil"/>
                <w:left w:val="nil"/>
                <w:bottom w:val="nil"/>
                <w:right w:val="nil"/>
                <w:between w:val="nil"/>
              </w:pBdr>
              <w:jc w:val="left"/>
            </w:pPr>
            <w:r>
              <w:t>Livello 2</w:t>
            </w:r>
          </w:p>
        </w:tc>
        <w:tc>
          <w:tcPr>
            <w:tcW w:w="4770" w:type="dxa"/>
            <w:shd w:val="clear" w:color="auto" w:fill="auto"/>
            <w:tcMar>
              <w:top w:w="43" w:type="dxa"/>
              <w:left w:w="43" w:type="dxa"/>
              <w:bottom w:w="43" w:type="dxa"/>
              <w:right w:w="43" w:type="dxa"/>
            </w:tcMar>
          </w:tcPr>
          <w:p w:rsidR="00E952EC" w:rsidRDefault="00EE0C3B">
            <w:r>
              <w:t>1-24 punti</w:t>
            </w:r>
          </w:p>
        </w:tc>
      </w:tr>
      <w:tr w:rsidR="00E952EC">
        <w:tc>
          <w:tcPr>
            <w:tcW w:w="786" w:type="dxa"/>
            <w:shd w:val="clear" w:color="auto" w:fill="FF9900"/>
            <w:tcMar>
              <w:top w:w="43" w:type="dxa"/>
              <w:left w:w="43" w:type="dxa"/>
              <w:bottom w:w="43" w:type="dxa"/>
              <w:right w:w="43" w:type="dxa"/>
            </w:tcMar>
          </w:tcPr>
          <w:p w:rsidR="00E952EC" w:rsidRDefault="00E952EC">
            <w:pPr>
              <w:widowControl w:val="0"/>
              <w:pBdr>
                <w:top w:val="nil"/>
                <w:left w:val="nil"/>
                <w:bottom w:val="nil"/>
                <w:right w:val="nil"/>
                <w:between w:val="nil"/>
              </w:pBdr>
              <w:jc w:val="left"/>
            </w:pPr>
          </w:p>
        </w:tc>
        <w:tc>
          <w:tcPr>
            <w:tcW w:w="3471" w:type="dxa"/>
            <w:shd w:val="clear" w:color="auto" w:fill="auto"/>
            <w:tcMar>
              <w:top w:w="43" w:type="dxa"/>
              <w:left w:w="43" w:type="dxa"/>
              <w:bottom w:w="43" w:type="dxa"/>
              <w:right w:w="43" w:type="dxa"/>
            </w:tcMar>
          </w:tcPr>
          <w:p w:rsidR="00E952EC" w:rsidRDefault="00EE0C3B">
            <w:pPr>
              <w:widowControl w:val="0"/>
              <w:pBdr>
                <w:top w:val="nil"/>
                <w:left w:val="nil"/>
                <w:bottom w:val="nil"/>
                <w:right w:val="nil"/>
                <w:between w:val="nil"/>
              </w:pBdr>
              <w:jc w:val="left"/>
            </w:pPr>
            <w:r>
              <w:t>Livello 3</w:t>
            </w:r>
          </w:p>
        </w:tc>
        <w:tc>
          <w:tcPr>
            <w:tcW w:w="4770" w:type="dxa"/>
            <w:shd w:val="clear" w:color="auto" w:fill="auto"/>
            <w:tcMar>
              <w:top w:w="43" w:type="dxa"/>
              <w:left w:w="43" w:type="dxa"/>
              <w:bottom w:w="43" w:type="dxa"/>
              <w:right w:w="43" w:type="dxa"/>
            </w:tcMar>
          </w:tcPr>
          <w:p w:rsidR="00E952EC" w:rsidRDefault="00EE0C3B">
            <w:r>
              <w:t>25-49 punti</w:t>
            </w:r>
          </w:p>
        </w:tc>
      </w:tr>
      <w:tr w:rsidR="00E952EC">
        <w:tc>
          <w:tcPr>
            <w:tcW w:w="786" w:type="dxa"/>
            <w:shd w:val="clear" w:color="auto" w:fill="FF0000"/>
            <w:tcMar>
              <w:top w:w="43" w:type="dxa"/>
              <w:left w:w="43" w:type="dxa"/>
              <w:bottom w:w="43" w:type="dxa"/>
              <w:right w:w="43" w:type="dxa"/>
            </w:tcMar>
          </w:tcPr>
          <w:p w:rsidR="00E952EC" w:rsidRDefault="00E952EC">
            <w:pPr>
              <w:widowControl w:val="0"/>
              <w:pBdr>
                <w:top w:val="nil"/>
                <w:left w:val="nil"/>
                <w:bottom w:val="nil"/>
                <w:right w:val="nil"/>
                <w:between w:val="nil"/>
              </w:pBdr>
              <w:jc w:val="left"/>
            </w:pPr>
          </w:p>
        </w:tc>
        <w:tc>
          <w:tcPr>
            <w:tcW w:w="3471" w:type="dxa"/>
            <w:shd w:val="clear" w:color="auto" w:fill="auto"/>
            <w:tcMar>
              <w:top w:w="43" w:type="dxa"/>
              <w:left w:w="43" w:type="dxa"/>
              <w:bottom w:w="43" w:type="dxa"/>
              <w:right w:w="43" w:type="dxa"/>
            </w:tcMar>
          </w:tcPr>
          <w:p w:rsidR="00E952EC" w:rsidRDefault="00EE0C3B">
            <w:pPr>
              <w:widowControl w:val="0"/>
              <w:pBdr>
                <w:top w:val="nil"/>
                <w:left w:val="nil"/>
                <w:bottom w:val="nil"/>
                <w:right w:val="nil"/>
                <w:between w:val="nil"/>
              </w:pBdr>
              <w:jc w:val="left"/>
            </w:pPr>
            <w:r>
              <w:t>Livello 4</w:t>
            </w:r>
          </w:p>
        </w:tc>
        <w:tc>
          <w:tcPr>
            <w:tcW w:w="4770" w:type="dxa"/>
            <w:shd w:val="clear" w:color="auto" w:fill="auto"/>
            <w:tcMar>
              <w:top w:w="43" w:type="dxa"/>
              <w:left w:w="43" w:type="dxa"/>
              <w:bottom w:w="43" w:type="dxa"/>
              <w:right w:w="43" w:type="dxa"/>
            </w:tcMar>
          </w:tcPr>
          <w:p w:rsidR="00E952EC" w:rsidRDefault="00EE0C3B">
            <w:r>
              <w:t>≥ 50 punti</w:t>
            </w:r>
          </w:p>
        </w:tc>
      </w:tr>
    </w:tbl>
    <w:p w:rsidR="00E952EC" w:rsidRDefault="00E952EC">
      <w:pPr>
        <w:pStyle w:val="Titolo2"/>
      </w:pPr>
      <w:bookmarkStart w:id="19" w:name="_3xn4hw9kyfez" w:colFirst="0" w:colLast="0"/>
      <w:bookmarkEnd w:id="19"/>
    </w:p>
    <w:p w:rsidR="00E952EC" w:rsidRDefault="00E952EC">
      <w:pPr>
        <w:pStyle w:val="Titolo2"/>
      </w:pPr>
      <w:bookmarkStart w:id="20" w:name="_2rtib3wu151s" w:colFirst="0" w:colLast="0"/>
      <w:bookmarkEnd w:id="20"/>
    </w:p>
    <w:p w:rsidR="00E952EC" w:rsidRDefault="00EE0C3B">
      <w:pPr>
        <w:pStyle w:val="Titolo2"/>
        <w:rPr>
          <w:highlight w:val="yellow"/>
        </w:rPr>
      </w:pPr>
      <w:bookmarkStart w:id="21" w:name="_bmb0ex60vzm" w:colFirst="0" w:colLast="0"/>
      <w:bookmarkEnd w:id="21"/>
      <w:r>
        <w:t>3. Mappatura e valutazione del rischio nel territorio regionale (valutazione al 25.8.2022)</w:t>
      </w:r>
    </w:p>
    <w:p w:rsidR="00E952EC" w:rsidRDefault="00EE0C3B">
      <w:r>
        <w:rPr>
          <w:noProof/>
          <w:lang w:val="it-IT"/>
        </w:rPr>
        <w:drawing>
          <wp:inline distT="114300" distB="114300" distL="114300" distR="114300">
            <wp:extent cx="5731200" cy="50673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print"/>
                    <a:srcRect/>
                    <a:stretch>
                      <a:fillRect/>
                    </a:stretch>
                  </pic:blipFill>
                  <pic:spPr>
                    <a:xfrm>
                      <a:off x="0" y="0"/>
                      <a:ext cx="5731200" cy="5067300"/>
                    </a:xfrm>
                    <a:prstGeom prst="rect">
                      <a:avLst/>
                    </a:prstGeom>
                    <a:ln/>
                  </pic:spPr>
                </pic:pic>
              </a:graphicData>
            </a:graphic>
          </wp:inline>
        </w:drawing>
      </w:r>
    </w:p>
    <w:p w:rsidR="00E952EC" w:rsidRDefault="00EE0C3B">
      <w:pPr>
        <w:rPr>
          <w:sz w:val="18"/>
          <w:szCs w:val="18"/>
        </w:rPr>
      </w:pPr>
      <w:r>
        <w:rPr>
          <w:sz w:val="18"/>
          <w:szCs w:val="18"/>
        </w:rPr>
        <w:t>Figura. Mappa dei comuni della Regione Veneto costruita sulla base dello score di valutazione del rischio.</w:t>
      </w:r>
    </w:p>
    <w:p w:rsidR="00E952EC" w:rsidRDefault="00E952EC"/>
    <w:p w:rsidR="00E952EC" w:rsidRDefault="00EE0C3B">
      <w:r>
        <w:t>Al verificarsi di nuovi casi di infezione nell’uomo il Tavolo tecnico dell’ULSS potrà modificare la Classificazione di priorità di intervento dei Comuni, riportata, dandone comunicazione alla Struttura regionale.</w:t>
      </w:r>
    </w:p>
    <w:p w:rsidR="00E952EC" w:rsidRDefault="00E952EC"/>
    <w:p w:rsidR="00E952EC" w:rsidRDefault="00E952EC"/>
    <w:p w:rsidR="00E952EC" w:rsidRDefault="00E952EC"/>
    <w:p w:rsidR="00E952EC" w:rsidRDefault="00E952EC"/>
    <w:p w:rsidR="00E952EC" w:rsidRDefault="00E952EC"/>
    <w:p w:rsidR="00E952EC" w:rsidRDefault="00E952EC"/>
    <w:p w:rsidR="00E952EC" w:rsidRDefault="00E952EC"/>
    <w:p w:rsidR="00E952EC" w:rsidRDefault="00E952EC"/>
    <w:p w:rsidR="00E952EC" w:rsidRDefault="00E952EC"/>
    <w:p w:rsidR="00E952EC" w:rsidRDefault="00EE0C3B">
      <w:pPr>
        <w:pStyle w:val="Titolo2"/>
      </w:pPr>
      <w:bookmarkStart w:id="22" w:name="_v2qzrnff1p3n" w:colFirst="0" w:colLast="0"/>
      <w:bookmarkEnd w:id="22"/>
      <w:r>
        <w:t>4. Definizione degli interventi da effettuare in base al livello di rischio</w:t>
      </w:r>
    </w:p>
    <w:p w:rsidR="00E952EC" w:rsidRDefault="00EE0C3B">
      <w:r>
        <w:t>Sulla base dello strumento di rischio, i Comuni saranno suddivisi in quattro livelli di rischio, prevedendo le seguenti azioni:</w:t>
      </w:r>
    </w:p>
    <w:p w:rsidR="00E952EC" w:rsidRDefault="00E952EC"/>
    <w:tbl>
      <w:tblPr>
        <w:tblStyle w:val="a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10"/>
        <w:gridCol w:w="1578"/>
        <w:gridCol w:w="1578"/>
        <w:gridCol w:w="1578"/>
        <w:gridCol w:w="1578"/>
        <w:gridCol w:w="1578"/>
      </w:tblGrid>
      <w:tr w:rsidR="00E952EC">
        <w:tc>
          <w:tcPr>
            <w:tcW w:w="1110" w:type="dxa"/>
            <w:shd w:val="clear" w:color="auto" w:fill="auto"/>
            <w:tcMar>
              <w:top w:w="43" w:type="dxa"/>
              <w:left w:w="43" w:type="dxa"/>
              <w:bottom w:w="43" w:type="dxa"/>
              <w:right w:w="43" w:type="dxa"/>
            </w:tcMar>
          </w:tcPr>
          <w:p w:rsidR="00E952EC" w:rsidRDefault="00E952EC">
            <w:pPr>
              <w:widowControl w:val="0"/>
              <w:pBdr>
                <w:top w:val="nil"/>
                <w:left w:val="nil"/>
                <w:bottom w:val="nil"/>
                <w:right w:val="nil"/>
                <w:between w:val="nil"/>
              </w:pBdr>
              <w:jc w:val="left"/>
            </w:pPr>
          </w:p>
        </w:tc>
        <w:tc>
          <w:tcPr>
            <w:tcW w:w="1578" w:type="dxa"/>
            <w:shd w:val="clear" w:color="auto" w:fill="9FC5E8"/>
            <w:tcMar>
              <w:top w:w="43" w:type="dxa"/>
              <w:left w:w="43" w:type="dxa"/>
              <w:bottom w:w="43" w:type="dxa"/>
              <w:right w:w="43" w:type="dxa"/>
            </w:tcMar>
          </w:tcPr>
          <w:p w:rsidR="00E952EC" w:rsidRDefault="00EE0C3B">
            <w:pPr>
              <w:widowControl w:val="0"/>
              <w:pBdr>
                <w:top w:val="nil"/>
                <w:left w:val="nil"/>
                <w:bottom w:val="nil"/>
                <w:right w:val="nil"/>
                <w:between w:val="nil"/>
              </w:pBdr>
              <w:jc w:val="center"/>
              <w:rPr>
                <w:b/>
                <w:sz w:val="18"/>
                <w:szCs w:val="18"/>
              </w:rPr>
            </w:pPr>
            <w:r>
              <w:rPr>
                <w:b/>
                <w:sz w:val="18"/>
                <w:szCs w:val="18"/>
              </w:rPr>
              <w:t>Rafforzamento monitoraggio epidemiologico</w:t>
            </w:r>
          </w:p>
        </w:tc>
        <w:tc>
          <w:tcPr>
            <w:tcW w:w="1578" w:type="dxa"/>
            <w:shd w:val="clear" w:color="auto" w:fill="9FC5E8"/>
            <w:tcMar>
              <w:top w:w="43" w:type="dxa"/>
              <w:left w:w="43" w:type="dxa"/>
              <w:bottom w:w="43" w:type="dxa"/>
              <w:right w:w="43" w:type="dxa"/>
            </w:tcMar>
          </w:tcPr>
          <w:p w:rsidR="00E952EC" w:rsidRDefault="00EE0C3B">
            <w:pPr>
              <w:widowControl w:val="0"/>
              <w:jc w:val="center"/>
              <w:rPr>
                <w:b/>
                <w:sz w:val="18"/>
                <w:szCs w:val="18"/>
              </w:rPr>
            </w:pPr>
            <w:r>
              <w:rPr>
                <w:b/>
                <w:sz w:val="18"/>
                <w:szCs w:val="18"/>
              </w:rPr>
              <w:t>Rafforzamento comunicazione</w:t>
            </w:r>
          </w:p>
        </w:tc>
        <w:tc>
          <w:tcPr>
            <w:tcW w:w="1578" w:type="dxa"/>
            <w:shd w:val="clear" w:color="auto" w:fill="9FC5E8"/>
            <w:tcMar>
              <w:top w:w="43" w:type="dxa"/>
              <w:left w:w="43" w:type="dxa"/>
              <w:bottom w:w="43" w:type="dxa"/>
              <w:right w:w="43" w:type="dxa"/>
            </w:tcMar>
          </w:tcPr>
          <w:p w:rsidR="00E952EC" w:rsidRDefault="00EE0C3B">
            <w:pPr>
              <w:widowControl w:val="0"/>
              <w:jc w:val="center"/>
              <w:rPr>
                <w:b/>
                <w:sz w:val="18"/>
                <w:szCs w:val="18"/>
              </w:rPr>
            </w:pPr>
            <w:r>
              <w:rPr>
                <w:b/>
                <w:sz w:val="18"/>
                <w:szCs w:val="18"/>
              </w:rPr>
              <w:t>Valutazione efficacia interventi ordinari di contrasto al vettore</w:t>
            </w:r>
          </w:p>
        </w:tc>
        <w:tc>
          <w:tcPr>
            <w:tcW w:w="1578" w:type="dxa"/>
            <w:shd w:val="clear" w:color="auto" w:fill="9FC5E8"/>
            <w:tcMar>
              <w:top w:w="43" w:type="dxa"/>
              <w:left w:w="43" w:type="dxa"/>
              <w:bottom w:w="43" w:type="dxa"/>
              <w:right w:w="43" w:type="dxa"/>
            </w:tcMar>
          </w:tcPr>
          <w:p w:rsidR="00E952EC" w:rsidRDefault="00EE0C3B">
            <w:pPr>
              <w:widowControl w:val="0"/>
              <w:jc w:val="center"/>
              <w:rPr>
                <w:b/>
                <w:sz w:val="18"/>
                <w:szCs w:val="18"/>
              </w:rPr>
            </w:pPr>
            <w:r>
              <w:rPr>
                <w:b/>
                <w:sz w:val="18"/>
                <w:szCs w:val="18"/>
              </w:rPr>
              <w:t>Interventi straordinari larvicidi</w:t>
            </w:r>
          </w:p>
        </w:tc>
        <w:tc>
          <w:tcPr>
            <w:tcW w:w="1578" w:type="dxa"/>
            <w:shd w:val="clear" w:color="auto" w:fill="9FC5E8"/>
            <w:tcMar>
              <w:top w:w="43" w:type="dxa"/>
              <w:left w:w="43" w:type="dxa"/>
              <w:bottom w:w="43" w:type="dxa"/>
              <w:right w:w="43" w:type="dxa"/>
            </w:tcMar>
          </w:tcPr>
          <w:p w:rsidR="00E952EC" w:rsidRDefault="00EE0C3B">
            <w:pPr>
              <w:widowControl w:val="0"/>
              <w:jc w:val="center"/>
              <w:rPr>
                <w:b/>
                <w:sz w:val="18"/>
                <w:szCs w:val="18"/>
              </w:rPr>
            </w:pPr>
            <w:r>
              <w:rPr>
                <w:b/>
                <w:sz w:val="18"/>
                <w:szCs w:val="18"/>
              </w:rPr>
              <w:t>Interventi straordinari adulticidi</w:t>
            </w:r>
          </w:p>
        </w:tc>
      </w:tr>
      <w:tr w:rsidR="00E952EC">
        <w:tc>
          <w:tcPr>
            <w:tcW w:w="1110" w:type="dxa"/>
            <w:shd w:val="clear" w:color="auto" w:fill="auto"/>
            <w:tcMar>
              <w:top w:w="43" w:type="dxa"/>
              <w:left w:w="43" w:type="dxa"/>
              <w:bottom w:w="43" w:type="dxa"/>
              <w:right w:w="43" w:type="dxa"/>
            </w:tcMar>
          </w:tcPr>
          <w:p w:rsidR="00E952EC" w:rsidRDefault="00EE0C3B">
            <w:pPr>
              <w:widowControl w:val="0"/>
              <w:pBdr>
                <w:top w:val="nil"/>
                <w:left w:val="nil"/>
                <w:bottom w:val="nil"/>
                <w:right w:val="nil"/>
                <w:between w:val="nil"/>
              </w:pBdr>
              <w:jc w:val="left"/>
            </w:pPr>
            <w:r>
              <w:t>Livello 1</w:t>
            </w:r>
          </w:p>
        </w:tc>
        <w:tc>
          <w:tcPr>
            <w:tcW w:w="1578" w:type="dxa"/>
            <w:tcMar>
              <w:top w:w="43" w:type="dxa"/>
              <w:left w:w="43" w:type="dxa"/>
              <w:bottom w:w="43" w:type="dxa"/>
              <w:right w:w="43" w:type="dxa"/>
            </w:tcMar>
          </w:tcPr>
          <w:p w:rsidR="00E952EC" w:rsidRDefault="00EE0C3B">
            <w:pPr>
              <w:widowControl w:val="0"/>
              <w:pBdr>
                <w:top w:val="nil"/>
                <w:left w:val="nil"/>
                <w:bottom w:val="nil"/>
                <w:right w:val="nil"/>
                <w:between w:val="nil"/>
              </w:pBdr>
              <w:jc w:val="center"/>
            </w:pPr>
            <w:r>
              <w:t>X</w:t>
            </w:r>
          </w:p>
        </w:tc>
        <w:tc>
          <w:tcPr>
            <w:tcW w:w="1578" w:type="dxa"/>
            <w:tcMar>
              <w:top w:w="43" w:type="dxa"/>
              <w:left w:w="43" w:type="dxa"/>
              <w:bottom w:w="43" w:type="dxa"/>
              <w:right w:w="43" w:type="dxa"/>
            </w:tcMar>
          </w:tcPr>
          <w:p w:rsidR="00E952EC" w:rsidRDefault="00EE0C3B">
            <w:pPr>
              <w:widowControl w:val="0"/>
              <w:pBdr>
                <w:top w:val="nil"/>
                <w:left w:val="nil"/>
                <w:bottom w:val="nil"/>
                <w:right w:val="nil"/>
                <w:between w:val="nil"/>
              </w:pBdr>
              <w:jc w:val="center"/>
            </w:pPr>
            <w:r>
              <w:t>X</w:t>
            </w:r>
          </w:p>
        </w:tc>
        <w:tc>
          <w:tcPr>
            <w:tcW w:w="1578" w:type="dxa"/>
            <w:tcMar>
              <w:top w:w="43" w:type="dxa"/>
              <w:left w:w="43" w:type="dxa"/>
              <w:bottom w:w="43" w:type="dxa"/>
              <w:right w:w="43" w:type="dxa"/>
            </w:tcMar>
          </w:tcPr>
          <w:p w:rsidR="00E952EC" w:rsidRDefault="00E952EC">
            <w:pPr>
              <w:widowControl w:val="0"/>
              <w:pBdr>
                <w:top w:val="nil"/>
                <w:left w:val="nil"/>
                <w:bottom w:val="nil"/>
                <w:right w:val="nil"/>
                <w:between w:val="nil"/>
              </w:pBdr>
              <w:jc w:val="center"/>
            </w:pPr>
          </w:p>
        </w:tc>
        <w:tc>
          <w:tcPr>
            <w:tcW w:w="1578" w:type="dxa"/>
            <w:tcMar>
              <w:top w:w="43" w:type="dxa"/>
              <w:left w:w="43" w:type="dxa"/>
              <w:bottom w:w="43" w:type="dxa"/>
              <w:right w:w="43" w:type="dxa"/>
            </w:tcMar>
          </w:tcPr>
          <w:p w:rsidR="00E952EC" w:rsidRDefault="00E952EC">
            <w:pPr>
              <w:widowControl w:val="0"/>
              <w:pBdr>
                <w:top w:val="nil"/>
                <w:left w:val="nil"/>
                <w:bottom w:val="nil"/>
                <w:right w:val="nil"/>
                <w:between w:val="nil"/>
              </w:pBdr>
              <w:jc w:val="center"/>
              <w:rPr>
                <w:highlight w:val="yellow"/>
              </w:rPr>
            </w:pPr>
          </w:p>
        </w:tc>
        <w:tc>
          <w:tcPr>
            <w:tcW w:w="1578" w:type="dxa"/>
            <w:tcMar>
              <w:top w:w="43" w:type="dxa"/>
              <w:left w:w="43" w:type="dxa"/>
              <w:bottom w:w="43" w:type="dxa"/>
              <w:right w:w="43" w:type="dxa"/>
            </w:tcMar>
          </w:tcPr>
          <w:p w:rsidR="00E952EC" w:rsidRDefault="00E952EC">
            <w:pPr>
              <w:widowControl w:val="0"/>
              <w:pBdr>
                <w:top w:val="nil"/>
                <w:left w:val="nil"/>
                <w:bottom w:val="nil"/>
                <w:right w:val="nil"/>
                <w:between w:val="nil"/>
              </w:pBdr>
              <w:jc w:val="center"/>
            </w:pPr>
          </w:p>
        </w:tc>
      </w:tr>
      <w:tr w:rsidR="00E952EC">
        <w:tc>
          <w:tcPr>
            <w:tcW w:w="1110" w:type="dxa"/>
            <w:shd w:val="clear" w:color="auto" w:fill="auto"/>
            <w:tcMar>
              <w:top w:w="43" w:type="dxa"/>
              <w:left w:w="43" w:type="dxa"/>
              <w:bottom w:w="43" w:type="dxa"/>
              <w:right w:w="43" w:type="dxa"/>
            </w:tcMar>
          </w:tcPr>
          <w:p w:rsidR="00E952EC" w:rsidRDefault="00EE0C3B">
            <w:pPr>
              <w:widowControl w:val="0"/>
              <w:pBdr>
                <w:top w:val="nil"/>
                <w:left w:val="nil"/>
                <w:bottom w:val="nil"/>
                <w:right w:val="nil"/>
                <w:between w:val="nil"/>
              </w:pBdr>
              <w:jc w:val="left"/>
            </w:pPr>
            <w:r>
              <w:t>Livello 2</w:t>
            </w:r>
          </w:p>
        </w:tc>
        <w:tc>
          <w:tcPr>
            <w:tcW w:w="1578" w:type="dxa"/>
            <w:tcMar>
              <w:top w:w="43" w:type="dxa"/>
              <w:left w:w="43" w:type="dxa"/>
              <w:bottom w:w="43" w:type="dxa"/>
              <w:right w:w="43" w:type="dxa"/>
            </w:tcMar>
          </w:tcPr>
          <w:p w:rsidR="00E952EC" w:rsidRDefault="00EE0C3B">
            <w:pPr>
              <w:widowControl w:val="0"/>
              <w:pBdr>
                <w:top w:val="nil"/>
                <w:left w:val="nil"/>
                <w:bottom w:val="nil"/>
                <w:right w:val="nil"/>
                <w:between w:val="nil"/>
              </w:pBdr>
              <w:jc w:val="center"/>
            </w:pPr>
            <w:r>
              <w:t>X</w:t>
            </w:r>
          </w:p>
        </w:tc>
        <w:tc>
          <w:tcPr>
            <w:tcW w:w="1578" w:type="dxa"/>
            <w:tcMar>
              <w:top w:w="43" w:type="dxa"/>
              <w:left w:w="43" w:type="dxa"/>
              <w:bottom w:w="43" w:type="dxa"/>
              <w:right w:w="43" w:type="dxa"/>
            </w:tcMar>
          </w:tcPr>
          <w:p w:rsidR="00E952EC" w:rsidRDefault="00EE0C3B">
            <w:pPr>
              <w:widowControl w:val="0"/>
              <w:pBdr>
                <w:top w:val="nil"/>
                <w:left w:val="nil"/>
                <w:bottom w:val="nil"/>
                <w:right w:val="nil"/>
                <w:between w:val="nil"/>
              </w:pBdr>
              <w:jc w:val="center"/>
            </w:pPr>
            <w:r>
              <w:t>X</w:t>
            </w:r>
          </w:p>
        </w:tc>
        <w:tc>
          <w:tcPr>
            <w:tcW w:w="1578" w:type="dxa"/>
            <w:tcMar>
              <w:top w:w="43" w:type="dxa"/>
              <w:left w:w="43" w:type="dxa"/>
              <w:bottom w:w="43" w:type="dxa"/>
              <w:right w:w="43" w:type="dxa"/>
            </w:tcMar>
          </w:tcPr>
          <w:p w:rsidR="00E952EC" w:rsidRDefault="00EE0C3B">
            <w:pPr>
              <w:widowControl w:val="0"/>
              <w:pBdr>
                <w:top w:val="nil"/>
                <w:left w:val="nil"/>
                <w:bottom w:val="nil"/>
                <w:right w:val="nil"/>
                <w:between w:val="nil"/>
              </w:pBdr>
              <w:jc w:val="center"/>
            </w:pPr>
            <w:r>
              <w:t>X</w:t>
            </w:r>
          </w:p>
        </w:tc>
        <w:tc>
          <w:tcPr>
            <w:tcW w:w="1578" w:type="dxa"/>
            <w:tcMar>
              <w:top w:w="43" w:type="dxa"/>
              <w:left w:w="43" w:type="dxa"/>
              <w:bottom w:w="43" w:type="dxa"/>
              <w:right w:w="43" w:type="dxa"/>
            </w:tcMar>
          </w:tcPr>
          <w:p w:rsidR="00E952EC" w:rsidRDefault="00E952EC">
            <w:pPr>
              <w:widowControl w:val="0"/>
              <w:pBdr>
                <w:top w:val="nil"/>
                <w:left w:val="nil"/>
                <w:bottom w:val="nil"/>
                <w:right w:val="nil"/>
                <w:between w:val="nil"/>
              </w:pBdr>
              <w:jc w:val="center"/>
            </w:pPr>
          </w:p>
        </w:tc>
        <w:tc>
          <w:tcPr>
            <w:tcW w:w="1578" w:type="dxa"/>
            <w:tcMar>
              <w:top w:w="43" w:type="dxa"/>
              <w:left w:w="43" w:type="dxa"/>
              <w:bottom w:w="43" w:type="dxa"/>
              <w:right w:w="43" w:type="dxa"/>
            </w:tcMar>
          </w:tcPr>
          <w:p w:rsidR="00E952EC" w:rsidRDefault="00E952EC">
            <w:pPr>
              <w:widowControl w:val="0"/>
              <w:pBdr>
                <w:top w:val="nil"/>
                <w:left w:val="nil"/>
                <w:bottom w:val="nil"/>
                <w:right w:val="nil"/>
                <w:between w:val="nil"/>
              </w:pBdr>
              <w:jc w:val="center"/>
            </w:pPr>
          </w:p>
        </w:tc>
      </w:tr>
      <w:tr w:rsidR="00E952EC">
        <w:tc>
          <w:tcPr>
            <w:tcW w:w="1110" w:type="dxa"/>
            <w:shd w:val="clear" w:color="auto" w:fill="auto"/>
            <w:tcMar>
              <w:top w:w="43" w:type="dxa"/>
              <w:left w:w="43" w:type="dxa"/>
              <w:bottom w:w="43" w:type="dxa"/>
              <w:right w:w="43" w:type="dxa"/>
            </w:tcMar>
          </w:tcPr>
          <w:p w:rsidR="00E952EC" w:rsidRDefault="00EE0C3B">
            <w:pPr>
              <w:widowControl w:val="0"/>
              <w:pBdr>
                <w:top w:val="nil"/>
                <w:left w:val="nil"/>
                <w:bottom w:val="nil"/>
                <w:right w:val="nil"/>
                <w:between w:val="nil"/>
              </w:pBdr>
              <w:jc w:val="left"/>
            </w:pPr>
            <w:r>
              <w:t>Livello 3</w:t>
            </w:r>
          </w:p>
        </w:tc>
        <w:tc>
          <w:tcPr>
            <w:tcW w:w="1578" w:type="dxa"/>
            <w:tcMar>
              <w:top w:w="43" w:type="dxa"/>
              <w:left w:w="43" w:type="dxa"/>
              <w:bottom w:w="43" w:type="dxa"/>
              <w:right w:w="43" w:type="dxa"/>
            </w:tcMar>
          </w:tcPr>
          <w:p w:rsidR="00E952EC" w:rsidRDefault="00EE0C3B">
            <w:pPr>
              <w:widowControl w:val="0"/>
              <w:pBdr>
                <w:top w:val="nil"/>
                <w:left w:val="nil"/>
                <w:bottom w:val="nil"/>
                <w:right w:val="nil"/>
                <w:between w:val="nil"/>
              </w:pBdr>
              <w:jc w:val="center"/>
            </w:pPr>
            <w:r>
              <w:t>X</w:t>
            </w:r>
          </w:p>
        </w:tc>
        <w:tc>
          <w:tcPr>
            <w:tcW w:w="1578" w:type="dxa"/>
            <w:tcMar>
              <w:top w:w="43" w:type="dxa"/>
              <w:left w:w="43" w:type="dxa"/>
              <w:bottom w:w="43" w:type="dxa"/>
              <w:right w:w="43" w:type="dxa"/>
            </w:tcMar>
          </w:tcPr>
          <w:p w:rsidR="00E952EC" w:rsidRDefault="00EE0C3B">
            <w:pPr>
              <w:widowControl w:val="0"/>
              <w:pBdr>
                <w:top w:val="nil"/>
                <w:left w:val="nil"/>
                <w:bottom w:val="nil"/>
                <w:right w:val="nil"/>
                <w:between w:val="nil"/>
              </w:pBdr>
              <w:jc w:val="center"/>
            </w:pPr>
            <w:r>
              <w:t>X</w:t>
            </w:r>
          </w:p>
        </w:tc>
        <w:tc>
          <w:tcPr>
            <w:tcW w:w="1578" w:type="dxa"/>
            <w:tcMar>
              <w:top w:w="43" w:type="dxa"/>
              <w:left w:w="43" w:type="dxa"/>
              <w:bottom w:w="43" w:type="dxa"/>
              <w:right w:w="43" w:type="dxa"/>
            </w:tcMar>
          </w:tcPr>
          <w:p w:rsidR="00E952EC" w:rsidRDefault="00EE0C3B">
            <w:pPr>
              <w:widowControl w:val="0"/>
              <w:pBdr>
                <w:top w:val="nil"/>
                <w:left w:val="nil"/>
                <w:bottom w:val="nil"/>
                <w:right w:val="nil"/>
                <w:between w:val="nil"/>
              </w:pBdr>
              <w:jc w:val="center"/>
            </w:pPr>
            <w:r>
              <w:t>X</w:t>
            </w:r>
          </w:p>
        </w:tc>
        <w:tc>
          <w:tcPr>
            <w:tcW w:w="1578" w:type="dxa"/>
            <w:tcMar>
              <w:top w:w="43" w:type="dxa"/>
              <w:left w:w="43" w:type="dxa"/>
              <w:bottom w:w="43" w:type="dxa"/>
              <w:right w:w="43" w:type="dxa"/>
            </w:tcMar>
          </w:tcPr>
          <w:p w:rsidR="00E952EC" w:rsidRDefault="00EE0C3B">
            <w:pPr>
              <w:widowControl w:val="0"/>
              <w:pBdr>
                <w:top w:val="nil"/>
                <w:left w:val="nil"/>
                <w:bottom w:val="nil"/>
                <w:right w:val="nil"/>
                <w:between w:val="nil"/>
              </w:pBdr>
              <w:jc w:val="center"/>
            </w:pPr>
            <w:r>
              <w:t>X</w:t>
            </w:r>
          </w:p>
        </w:tc>
        <w:tc>
          <w:tcPr>
            <w:tcW w:w="1578" w:type="dxa"/>
            <w:tcMar>
              <w:top w:w="43" w:type="dxa"/>
              <w:left w:w="43" w:type="dxa"/>
              <w:bottom w:w="43" w:type="dxa"/>
              <w:right w:w="43" w:type="dxa"/>
            </w:tcMar>
          </w:tcPr>
          <w:p w:rsidR="00E952EC" w:rsidRDefault="00E952EC">
            <w:pPr>
              <w:widowControl w:val="0"/>
              <w:pBdr>
                <w:top w:val="nil"/>
                <w:left w:val="nil"/>
                <w:bottom w:val="nil"/>
                <w:right w:val="nil"/>
                <w:between w:val="nil"/>
              </w:pBdr>
              <w:jc w:val="center"/>
            </w:pPr>
          </w:p>
        </w:tc>
      </w:tr>
      <w:tr w:rsidR="00E952EC">
        <w:tc>
          <w:tcPr>
            <w:tcW w:w="1110" w:type="dxa"/>
            <w:shd w:val="clear" w:color="auto" w:fill="auto"/>
            <w:tcMar>
              <w:top w:w="43" w:type="dxa"/>
              <w:left w:w="43" w:type="dxa"/>
              <w:bottom w:w="43" w:type="dxa"/>
              <w:right w:w="43" w:type="dxa"/>
            </w:tcMar>
          </w:tcPr>
          <w:p w:rsidR="00E952EC" w:rsidRDefault="00EE0C3B">
            <w:pPr>
              <w:widowControl w:val="0"/>
              <w:pBdr>
                <w:top w:val="nil"/>
                <w:left w:val="nil"/>
                <w:bottom w:val="nil"/>
                <w:right w:val="nil"/>
                <w:between w:val="nil"/>
              </w:pBdr>
              <w:jc w:val="left"/>
            </w:pPr>
            <w:r>
              <w:t>Livello 4</w:t>
            </w:r>
          </w:p>
        </w:tc>
        <w:tc>
          <w:tcPr>
            <w:tcW w:w="1578" w:type="dxa"/>
            <w:tcMar>
              <w:top w:w="43" w:type="dxa"/>
              <w:left w:w="43" w:type="dxa"/>
              <w:bottom w:w="43" w:type="dxa"/>
              <w:right w:w="43" w:type="dxa"/>
            </w:tcMar>
          </w:tcPr>
          <w:p w:rsidR="00E952EC" w:rsidRDefault="00EE0C3B">
            <w:pPr>
              <w:widowControl w:val="0"/>
              <w:pBdr>
                <w:top w:val="nil"/>
                <w:left w:val="nil"/>
                <w:bottom w:val="nil"/>
                <w:right w:val="nil"/>
                <w:between w:val="nil"/>
              </w:pBdr>
              <w:jc w:val="center"/>
            </w:pPr>
            <w:r>
              <w:t>X</w:t>
            </w:r>
          </w:p>
        </w:tc>
        <w:tc>
          <w:tcPr>
            <w:tcW w:w="1578" w:type="dxa"/>
            <w:tcMar>
              <w:top w:w="43" w:type="dxa"/>
              <w:left w:w="43" w:type="dxa"/>
              <w:bottom w:w="43" w:type="dxa"/>
              <w:right w:w="43" w:type="dxa"/>
            </w:tcMar>
          </w:tcPr>
          <w:p w:rsidR="00E952EC" w:rsidRDefault="00EE0C3B">
            <w:pPr>
              <w:widowControl w:val="0"/>
              <w:pBdr>
                <w:top w:val="nil"/>
                <w:left w:val="nil"/>
                <w:bottom w:val="nil"/>
                <w:right w:val="nil"/>
                <w:between w:val="nil"/>
              </w:pBdr>
              <w:jc w:val="center"/>
            </w:pPr>
            <w:r>
              <w:t>X</w:t>
            </w:r>
          </w:p>
        </w:tc>
        <w:tc>
          <w:tcPr>
            <w:tcW w:w="1578" w:type="dxa"/>
            <w:tcMar>
              <w:top w:w="43" w:type="dxa"/>
              <w:left w:w="43" w:type="dxa"/>
              <w:bottom w:w="43" w:type="dxa"/>
              <w:right w:w="43" w:type="dxa"/>
            </w:tcMar>
          </w:tcPr>
          <w:p w:rsidR="00E952EC" w:rsidRDefault="00EE0C3B">
            <w:pPr>
              <w:widowControl w:val="0"/>
              <w:pBdr>
                <w:top w:val="nil"/>
                <w:left w:val="nil"/>
                <w:bottom w:val="nil"/>
                <w:right w:val="nil"/>
                <w:between w:val="nil"/>
              </w:pBdr>
              <w:jc w:val="center"/>
            </w:pPr>
            <w:r>
              <w:t>X</w:t>
            </w:r>
          </w:p>
        </w:tc>
        <w:tc>
          <w:tcPr>
            <w:tcW w:w="1578" w:type="dxa"/>
            <w:tcMar>
              <w:top w:w="43" w:type="dxa"/>
              <w:left w:w="43" w:type="dxa"/>
              <w:bottom w:w="43" w:type="dxa"/>
              <w:right w:w="43" w:type="dxa"/>
            </w:tcMar>
          </w:tcPr>
          <w:p w:rsidR="00E952EC" w:rsidRDefault="00EE0C3B">
            <w:pPr>
              <w:widowControl w:val="0"/>
              <w:pBdr>
                <w:top w:val="nil"/>
                <w:left w:val="nil"/>
                <w:bottom w:val="nil"/>
                <w:right w:val="nil"/>
                <w:between w:val="nil"/>
              </w:pBdr>
              <w:jc w:val="center"/>
            </w:pPr>
            <w:r>
              <w:t>X</w:t>
            </w:r>
          </w:p>
        </w:tc>
        <w:tc>
          <w:tcPr>
            <w:tcW w:w="1578" w:type="dxa"/>
            <w:tcMar>
              <w:top w:w="43" w:type="dxa"/>
              <w:left w:w="43" w:type="dxa"/>
              <w:bottom w:w="43" w:type="dxa"/>
              <w:right w:w="43" w:type="dxa"/>
            </w:tcMar>
          </w:tcPr>
          <w:p w:rsidR="00E952EC" w:rsidRDefault="00EE0C3B">
            <w:pPr>
              <w:widowControl w:val="0"/>
              <w:pBdr>
                <w:top w:val="nil"/>
                <w:left w:val="nil"/>
                <w:bottom w:val="nil"/>
                <w:right w:val="nil"/>
                <w:between w:val="nil"/>
              </w:pBdr>
              <w:jc w:val="center"/>
            </w:pPr>
            <w:r>
              <w:t>X</w:t>
            </w:r>
          </w:p>
        </w:tc>
      </w:tr>
    </w:tbl>
    <w:p w:rsidR="00E952EC" w:rsidRDefault="00E952EC">
      <w:pPr>
        <w:rPr>
          <w:color w:val="FF0000"/>
        </w:rPr>
      </w:pPr>
    </w:p>
    <w:p w:rsidR="00E952EC" w:rsidRDefault="00EE0C3B">
      <w:r>
        <w:t>Le diverse aree regionali in cui si aggregano i comuni con livelli di rischio simili saranno poi accorpate al fine di adottare misure analoghe su specifici territori omogenei per aumentare l’efficacia degli interventi.</w:t>
      </w:r>
    </w:p>
    <w:p w:rsidR="00E952EC" w:rsidRDefault="00E952EC"/>
    <w:p w:rsidR="00E952EC" w:rsidRDefault="00EE0C3B">
      <w:r>
        <w:t xml:space="preserve">Saranno inoltre identificate delle </w:t>
      </w:r>
      <w:r>
        <w:rPr>
          <w:b/>
        </w:rPr>
        <w:t xml:space="preserve">zone </w:t>
      </w:r>
      <w:r>
        <w:rPr>
          <w:b/>
          <w:i/>
        </w:rPr>
        <w:t>buffer</w:t>
      </w:r>
      <w:r>
        <w:rPr>
          <w:b/>
        </w:rPr>
        <w:t xml:space="preserve"> di sicurezza</w:t>
      </w:r>
      <w:r>
        <w:t xml:space="preserve"> al fine di rafforzare l’azione di riduzione del rischio e di circolazione delle zanzare infette, queste zone sono identificate come territori a medio rischio ma  confinanti  con aree ad alto rischio in modo che possano rappresentare delle “aree tampone” .</w:t>
      </w:r>
    </w:p>
    <w:p w:rsidR="00E952EC" w:rsidRDefault="00EE0C3B">
      <w:r>
        <w:t xml:space="preserve">L’intervento di disinfestazione adulticida, nei siti sensibili dei territori identificati come zone buffer, andrà eseguito se le stesse si trovano in continuità territoriale con la morfologia dell’area urbana considerata ad alto rischio. Per continuità territoriale può essere considerata anche la presenza dei parchi, mentre se i territori sono strutturalmente rappresentate da aree verdi agricole l’intervento non è indicato. </w:t>
      </w:r>
    </w:p>
    <w:p w:rsidR="00E952EC" w:rsidRDefault="00E952EC">
      <w:pPr>
        <w:rPr>
          <w:color w:val="FF0000"/>
        </w:rPr>
      </w:pPr>
    </w:p>
    <w:p w:rsidR="00E952EC" w:rsidRDefault="00EE0C3B">
      <w:pPr>
        <w:pStyle w:val="Titolo2"/>
        <w:spacing w:before="240"/>
      </w:pPr>
      <w:bookmarkStart w:id="23" w:name="_xbgp301bs6xf" w:colFirst="0" w:colLast="0"/>
      <w:bookmarkEnd w:id="23"/>
      <w:r>
        <w:t>5. Pianificazione e attuazione degli interventi di contrasto al vettore tramite disinfestazione</w:t>
      </w:r>
    </w:p>
    <w:p w:rsidR="00E952EC" w:rsidRDefault="00EE0C3B">
      <w:pPr>
        <w:numPr>
          <w:ilvl w:val="0"/>
          <w:numId w:val="3"/>
        </w:numPr>
      </w:pPr>
      <w:r>
        <w:t>L’Azienda ULSS verifica la situazione dei comuni individuati sul proprio territorio e gli eventuali trattamenti straordinari eventualmente già eseguiti negli stessi.</w:t>
      </w:r>
    </w:p>
    <w:p w:rsidR="00E952EC" w:rsidRDefault="00EE0C3B">
      <w:pPr>
        <w:numPr>
          <w:ilvl w:val="0"/>
          <w:numId w:val="3"/>
        </w:numPr>
      </w:pPr>
      <w:r>
        <w:t xml:space="preserve">Successivamente stabilisce gli ulteriori interventi per i Comuni di livello 3 e 4, programma gli stessi entro 10 giorni secondo una pianificazione definita di concerto tra ULSS, Comuni, Azienda incaricata. </w:t>
      </w:r>
    </w:p>
    <w:p w:rsidR="00E952EC" w:rsidRDefault="00EE0C3B">
      <w:pPr>
        <w:numPr>
          <w:ilvl w:val="0"/>
          <w:numId w:val="3"/>
        </w:numPr>
      </w:pPr>
      <w:r>
        <w:t>Ogni Azienda dovrà stabilire e monitorare il calendario degli interventi pianificati e attuati nei comuni considerati in funzione del rischio.</w:t>
      </w:r>
    </w:p>
    <w:p w:rsidR="00E952EC" w:rsidRDefault="00EE0C3B">
      <w:pPr>
        <w:numPr>
          <w:ilvl w:val="0"/>
          <w:numId w:val="3"/>
        </w:numPr>
      </w:pPr>
      <w:r>
        <w:t>L’Azienda incaricata provvedrà a comunicare all’ULSS di competenza e all’IZSVe la data di effettuazione dell'intervento e la conferma dell’avvenuta dello stesso al fine di consentire le azioni contestuali di monitoraggio (pre e post trattamento) per valutare l'efficacia degli interventi.</w:t>
      </w:r>
    </w:p>
    <w:p w:rsidR="00E952EC" w:rsidRDefault="00E952EC"/>
    <w:p w:rsidR="00E952EC" w:rsidRDefault="00E952EC">
      <w:pPr>
        <w:rPr>
          <w:b/>
        </w:rPr>
      </w:pPr>
    </w:p>
    <w:p w:rsidR="00E952EC" w:rsidRDefault="00EE0C3B">
      <w:pPr>
        <w:pStyle w:val="Titolo2"/>
      </w:pPr>
      <w:bookmarkStart w:id="24" w:name="_q0bq54i08oo1" w:colFirst="0" w:colLast="0"/>
      <w:bookmarkEnd w:id="24"/>
      <w:r>
        <w:t>6. Rafforzamento della comunicazione prioritariamente rivolta ai soggetti a maggior rischio</w:t>
      </w:r>
    </w:p>
    <w:p w:rsidR="00E952EC" w:rsidRDefault="00EE0C3B">
      <w:r>
        <w:t xml:space="preserve">Riprendendo la nota regionale prot. 340827 del 02.08.2022, viene ribadita la necessità di rafforzamento della comunicazione e informazione alla cittadinanza. La comunicazione e l’informazione alla popolazione risultano di importanza strategica al fine di richiamare il ruolo attivo di ogni persona nell’adozione di tutte le misure </w:t>
      </w:r>
      <w:r>
        <w:lastRenderedPageBreak/>
        <w:t xml:space="preserve">individuali per la protezione dalle punture di zanzara e per l’attenzione degli interventi di rimozione dei focolai larvali. A tal fine si evidenzia che sul sito della Regione del Veneto, al link </w:t>
      </w:r>
      <w:hyperlink r:id="rId13">
        <w:r>
          <w:rPr>
            <w:color w:val="1155CC"/>
            <w:u w:val="single"/>
          </w:rPr>
          <w:t>www.regione.veneto.it/web/sanita/arbovirosi</w:t>
        </w:r>
      </w:hyperlink>
      <w:r>
        <w:t>, sono disponibili tutti i materiali informativi aggiornati destinati alla popolazione.</w:t>
      </w:r>
    </w:p>
    <w:p w:rsidR="00E952EC" w:rsidRDefault="00E952EC"/>
    <w:p w:rsidR="00E952EC" w:rsidRDefault="00EE0C3B">
      <w:r>
        <w:t>Considerata l’importanza di intensificare la campagna informativa su tutto il territorio regionale si chiede la collaborazione di tutte le Aziende Sanitarie, di tutti i Comuni e di tutti gli Enti e gli Stakeholders del territorio per diffondere il materiale predisposto attraverso i propri canali informativi, rafforzando al contempo la comunicazione alle strutture socio sanitarie e socioassistenziali per anziani e non autosufficienti.</w:t>
      </w:r>
    </w:p>
    <w:p w:rsidR="00E952EC" w:rsidRDefault="00E952EC">
      <w:pPr>
        <w:pBdr>
          <w:top w:val="nil"/>
          <w:left w:val="nil"/>
          <w:bottom w:val="nil"/>
          <w:right w:val="nil"/>
          <w:between w:val="nil"/>
        </w:pBdr>
      </w:pPr>
    </w:p>
    <w:p w:rsidR="00E952EC" w:rsidRDefault="00EE0C3B">
      <w:pPr>
        <w:pBdr>
          <w:top w:val="nil"/>
          <w:left w:val="nil"/>
          <w:bottom w:val="nil"/>
          <w:right w:val="nil"/>
          <w:between w:val="nil"/>
        </w:pBdr>
      </w:pPr>
      <w:r>
        <w:t>È importante porre particolare attenzione nel raggiungere con la diffusione del materiale le persone a maggior rischio di intenzione, in primis i soggetti più anziani, e i loro caregiver. Sono proprio i caregiver infatti (es. figli, nipoti) che possono svolgere un ruolo diretto nell’adozione delle misure di prevenzioni più rilevanti oltre che per se stessi per i familiari più fragili (es. posizionamento delle zanzare, interventi larvicidi nelle aree private, etc.).</w:t>
      </w:r>
    </w:p>
    <w:p w:rsidR="00E952EC" w:rsidRDefault="00E952EC">
      <w:pPr>
        <w:pBdr>
          <w:top w:val="nil"/>
          <w:left w:val="nil"/>
          <w:bottom w:val="nil"/>
          <w:right w:val="nil"/>
          <w:between w:val="nil"/>
        </w:pBdr>
      </w:pPr>
    </w:p>
    <w:p w:rsidR="00E952EC" w:rsidRDefault="00EE0C3B">
      <w:pPr>
        <w:pBdr>
          <w:top w:val="nil"/>
          <w:left w:val="nil"/>
          <w:bottom w:val="nil"/>
          <w:right w:val="nil"/>
          <w:between w:val="nil"/>
        </w:pBdr>
      </w:pPr>
      <w:r>
        <w:t>Considerata altresì l'efficacia dei social network proprio per la possibilità di raggiungere anche i caregiver delle persone più anziane e fragili è stato predisposto del materiale informativo specificatamente destinato a tale canale comunicativo e reperibile al seguente link (</w:t>
      </w:r>
      <w:hyperlink r:id="rId14">
        <w:r>
          <w:rPr>
            <w:color w:val="1155CC"/>
            <w:u w:val="single"/>
          </w:rPr>
          <w:t>https://salute.regione.veneto.it/filesharing/data/public/42f95a.php</w:t>
        </w:r>
      </w:hyperlink>
      <w:r>
        <w:t>). Si chiede, alle Aziende Sanitarie e a tutti i Comuni, di diffondere anche sui propri social network, il materiale informativo prevedendo una ri-condivisione periodica durante tutto il periodo di attività del vettore al fine di raggiungere il maggior numero possibile di persone.</w:t>
      </w:r>
    </w:p>
    <w:p w:rsidR="00E952EC" w:rsidRDefault="00EE0C3B">
      <w:pPr>
        <w:pBdr>
          <w:top w:val="nil"/>
          <w:left w:val="nil"/>
          <w:bottom w:val="nil"/>
          <w:right w:val="nil"/>
          <w:between w:val="nil"/>
        </w:pBdr>
      </w:pPr>
      <w:r>
        <w:t>Si segnala inoltre che ulteriore materiale informativo è disponibile sul sito dell’Istituto Zooprofilattico Sperimentale delle Venezie (</w:t>
      </w:r>
      <w:hyperlink r:id="rId15">
        <w:r>
          <w:rPr>
            <w:color w:val="1155CC"/>
            <w:u w:val="single"/>
          </w:rPr>
          <w:t>www.izsvenezie.it</w:t>
        </w:r>
      </w:hyperlink>
      <w:r>
        <w:t>).</w:t>
      </w:r>
    </w:p>
    <w:p w:rsidR="00E952EC" w:rsidRDefault="00E952EC">
      <w:pPr>
        <w:rPr>
          <w:b/>
        </w:rPr>
      </w:pPr>
    </w:p>
    <w:p w:rsidR="00E952EC" w:rsidRDefault="00E952EC">
      <w:pPr>
        <w:rPr>
          <w:b/>
        </w:rPr>
      </w:pPr>
    </w:p>
    <w:p w:rsidR="00E952EC" w:rsidRDefault="00E952EC">
      <w:pPr>
        <w:pStyle w:val="Titolo2"/>
      </w:pPr>
      <w:bookmarkStart w:id="25" w:name="_4jzltdxtv118" w:colFirst="0" w:colLast="0"/>
      <w:bookmarkEnd w:id="25"/>
    </w:p>
    <w:p w:rsidR="00E952EC" w:rsidRDefault="00EE0C3B">
      <w:pPr>
        <w:pStyle w:val="Titolo2"/>
      </w:pPr>
      <w:bookmarkStart w:id="26" w:name="_cow2tvo1tjt4" w:colFirst="0" w:colLast="0"/>
      <w:bookmarkEnd w:id="26"/>
      <w:r>
        <w:t>7. Controllo dell'efficacia dei trattamenti</w:t>
      </w:r>
    </w:p>
    <w:p w:rsidR="00E952EC" w:rsidRDefault="00EE0C3B">
      <w:pPr>
        <w:spacing w:before="240" w:after="240"/>
      </w:pPr>
      <w:r>
        <w:t>L’efficacia dei trattamenti verrà effettuata e valutata dalle ULSS in collaborazione con l’IZSVe.</w:t>
      </w:r>
    </w:p>
    <w:p w:rsidR="00E952EC" w:rsidRDefault="00EE0C3B">
      <w:pPr>
        <w:pBdr>
          <w:top w:val="nil"/>
          <w:left w:val="nil"/>
          <w:bottom w:val="nil"/>
          <w:right w:val="nil"/>
          <w:between w:val="nil"/>
        </w:pBdr>
      </w:pPr>
      <w:r>
        <w:t>Le verifiche di efficacia dei trattamenti larvicidi verranno effettuate seguendo le indicazioni riportate nella DGR 100/2022.</w:t>
      </w:r>
    </w:p>
    <w:p w:rsidR="00E952EC" w:rsidRDefault="00EE0C3B">
      <w:pPr>
        <w:pBdr>
          <w:top w:val="nil"/>
          <w:left w:val="nil"/>
          <w:bottom w:val="nil"/>
          <w:right w:val="nil"/>
          <w:between w:val="nil"/>
        </w:pBdr>
        <w:rPr>
          <w:highlight w:val="white"/>
        </w:rPr>
      </w:pPr>
      <w:r>
        <w:t xml:space="preserve">Relativamente ai trattamenti adulticidi, considerando che l’efficacia è di breve durata, le valutazioni devono essere effettuate immediatamente dopo l'applicazione pertanto si procederà posizionando a campione trappole CDC e BG-Sentinel attivate con anidride carbonica 24 ore prima e 24 ore dopo l’intervento. L’efficacia verrà misurata come percentuale di riduzione di adulti di zanzara catturati nei due rilievi. </w:t>
      </w:r>
    </w:p>
    <w:p w:rsidR="00E952EC" w:rsidRDefault="00E952EC">
      <w:pPr>
        <w:spacing w:before="240" w:after="240"/>
        <w:rPr>
          <w:highlight w:val="yellow"/>
        </w:rPr>
      </w:pPr>
    </w:p>
    <w:p w:rsidR="00E952EC" w:rsidRDefault="00EE0C3B">
      <w:pPr>
        <w:pStyle w:val="Titolo2"/>
      </w:pPr>
      <w:bookmarkStart w:id="27" w:name="_ltlbdmw9qhf7" w:colFirst="0" w:colLast="0"/>
      <w:bookmarkEnd w:id="27"/>
      <w:r>
        <w:t>8. Analisi della situazione epidemiologica con valutazione e monitoraggio del Piano</w:t>
      </w:r>
    </w:p>
    <w:p w:rsidR="00E952EC" w:rsidRDefault="00E952EC"/>
    <w:p w:rsidR="00E952EC" w:rsidRDefault="00EE0C3B">
      <w:r>
        <w:t xml:space="preserve">Sarà condotto un monitoraggio delle azioni previste dal </w:t>
      </w:r>
      <w:r>
        <w:rPr>
          <w:b/>
        </w:rPr>
        <w:t>Piano</w:t>
      </w:r>
      <w:r>
        <w:t xml:space="preserve"> attraverso uno stretto coordinamento con i Tavoli tecnici delle ULSS misurando i seguenti indicatori per la valutazione dello stesso.</w:t>
      </w:r>
    </w:p>
    <w:p w:rsidR="00E952EC" w:rsidRDefault="00E952EC"/>
    <w:p w:rsidR="00E952EC" w:rsidRDefault="00E952EC"/>
    <w:p w:rsidR="00E952EC" w:rsidRDefault="00E952EC"/>
    <w:tbl>
      <w:tblPr>
        <w:tblStyle w:val="a4"/>
        <w:tblW w:w="9150"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tblPr>
      <w:tblGrid>
        <w:gridCol w:w="2460"/>
        <w:gridCol w:w="5370"/>
        <w:gridCol w:w="1320"/>
      </w:tblGrid>
      <w:tr w:rsidR="00E952EC">
        <w:trPr>
          <w:trHeight w:val="384"/>
        </w:trPr>
        <w:tc>
          <w:tcPr>
            <w:tcW w:w="2460" w:type="dxa"/>
            <w:tcBorders>
              <w:top w:val="single" w:sz="4" w:space="0" w:color="000000"/>
              <w:left w:val="single" w:sz="4" w:space="0" w:color="000000"/>
              <w:bottom w:val="single" w:sz="4" w:space="0" w:color="000000"/>
              <w:right w:val="single" w:sz="4" w:space="0" w:color="000000"/>
            </w:tcBorders>
            <w:shd w:val="clear" w:color="auto" w:fill="9FC5E8"/>
            <w:tcMar>
              <w:top w:w="43" w:type="dxa"/>
              <w:left w:w="43" w:type="dxa"/>
              <w:bottom w:w="43" w:type="dxa"/>
              <w:right w:w="43" w:type="dxa"/>
            </w:tcMar>
            <w:vAlign w:val="center"/>
          </w:tcPr>
          <w:p w:rsidR="00E952EC" w:rsidRDefault="00EE0C3B">
            <w:pPr>
              <w:rPr>
                <w:b/>
              </w:rPr>
            </w:pPr>
            <w:r>
              <w:rPr>
                <w:b/>
              </w:rPr>
              <w:t>AZIONE</w:t>
            </w:r>
          </w:p>
        </w:tc>
        <w:tc>
          <w:tcPr>
            <w:tcW w:w="5370" w:type="dxa"/>
            <w:tcBorders>
              <w:top w:val="single" w:sz="4" w:space="0" w:color="000000"/>
              <w:left w:val="single" w:sz="4" w:space="0" w:color="000000"/>
              <w:bottom w:val="single" w:sz="4" w:space="0" w:color="000000"/>
              <w:right w:val="single" w:sz="4" w:space="0" w:color="000000"/>
            </w:tcBorders>
            <w:shd w:val="clear" w:color="auto" w:fill="9FC5E8"/>
            <w:tcMar>
              <w:top w:w="43" w:type="dxa"/>
              <w:left w:w="43" w:type="dxa"/>
              <w:bottom w:w="43" w:type="dxa"/>
              <w:right w:w="43" w:type="dxa"/>
            </w:tcMar>
            <w:vAlign w:val="center"/>
          </w:tcPr>
          <w:p w:rsidR="00E952EC" w:rsidRDefault="00EE0C3B">
            <w:pPr>
              <w:rPr>
                <w:b/>
              </w:rPr>
            </w:pPr>
            <w:r>
              <w:rPr>
                <w:b/>
              </w:rPr>
              <w:t>INDICATORE</w:t>
            </w:r>
          </w:p>
        </w:tc>
        <w:tc>
          <w:tcPr>
            <w:tcW w:w="1320" w:type="dxa"/>
            <w:tcBorders>
              <w:top w:val="single" w:sz="4" w:space="0" w:color="000000"/>
              <w:left w:val="single" w:sz="4" w:space="0" w:color="000000"/>
              <w:bottom w:val="single" w:sz="4" w:space="0" w:color="000000"/>
              <w:right w:val="single" w:sz="4" w:space="0" w:color="000000"/>
            </w:tcBorders>
            <w:shd w:val="clear" w:color="auto" w:fill="9FC5E8"/>
            <w:tcMar>
              <w:top w:w="43" w:type="dxa"/>
              <w:left w:w="43" w:type="dxa"/>
              <w:bottom w:w="43" w:type="dxa"/>
              <w:right w:w="43" w:type="dxa"/>
            </w:tcMar>
            <w:vAlign w:val="center"/>
          </w:tcPr>
          <w:p w:rsidR="00E952EC" w:rsidRDefault="00EE0C3B">
            <w:pPr>
              <w:jc w:val="center"/>
              <w:rPr>
                <w:b/>
              </w:rPr>
            </w:pPr>
            <w:r>
              <w:rPr>
                <w:b/>
              </w:rPr>
              <w:t xml:space="preserve">OBIETTIVO </w:t>
            </w:r>
            <w:r>
              <w:rPr>
                <w:b/>
              </w:rPr>
              <w:lastRenderedPageBreak/>
              <w:t>MINIMO</w:t>
            </w:r>
          </w:p>
        </w:tc>
      </w:tr>
      <w:tr w:rsidR="00E952EC">
        <w:tc>
          <w:tcPr>
            <w:tcW w:w="246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rsidR="00E952EC" w:rsidRDefault="00EE0C3B">
            <w:r>
              <w:lastRenderedPageBreak/>
              <w:t>Comuni di Livello 1 all’emanazione del piano</w:t>
            </w:r>
          </w:p>
        </w:tc>
        <w:tc>
          <w:tcPr>
            <w:tcW w:w="537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rsidR="00E952EC" w:rsidRDefault="00EE0C3B">
            <w:r>
              <w:t>Comuni con attività di disinfestazione attuata entro 8 giorni dall’inizio della rispettiva fase di intervento</w:t>
            </w:r>
          </w:p>
        </w:tc>
        <w:tc>
          <w:tcPr>
            <w:tcW w:w="132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rsidR="00E952EC" w:rsidRDefault="00EE0C3B">
            <w:pPr>
              <w:jc w:val="center"/>
            </w:pPr>
            <w:r>
              <w:t>80%</w:t>
            </w:r>
          </w:p>
        </w:tc>
      </w:tr>
      <w:tr w:rsidR="00E952EC">
        <w:tc>
          <w:tcPr>
            <w:tcW w:w="246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rsidR="00E952EC" w:rsidRDefault="00EE0C3B">
            <w:r>
              <w:t>Comuni di Livello 2 all’emanazione del piano</w:t>
            </w:r>
          </w:p>
        </w:tc>
        <w:tc>
          <w:tcPr>
            <w:tcW w:w="537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rsidR="00E952EC" w:rsidRDefault="00EE0C3B">
            <w:r>
              <w:t>Comuni con attività di disinfestazione attuata entro 14 giorni dall’inizio della rispettiva fase di intervento</w:t>
            </w:r>
          </w:p>
        </w:tc>
        <w:tc>
          <w:tcPr>
            <w:tcW w:w="132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rsidR="00E952EC" w:rsidRDefault="00EE0C3B">
            <w:pPr>
              <w:jc w:val="center"/>
            </w:pPr>
            <w:r>
              <w:t>80 %</w:t>
            </w:r>
          </w:p>
        </w:tc>
      </w:tr>
      <w:tr w:rsidR="00E952EC">
        <w:tc>
          <w:tcPr>
            <w:tcW w:w="246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rsidR="00E952EC" w:rsidRDefault="00EE0C3B">
            <w:r>
              <w:t>Comuni di Livello 3 all’emanazione del piano</w:t>
            </w:r>
          </w:p>
        </w:tc>
        <w:tc>
          <w:tcPr>
            <w:tcW w:w="537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rsidR="00E952EC" w:rsidRDefault="00EE0C3B">
            <w:r>
              <w:t>Comuni sottoposti ad attività di verifica da parte del Tavolo entro 30 giorni dall’inizio della rispettiva fase di intervento</w:t>
            </w:r>
          </w:p>
        </w:tc>
        <w:tc>
          <w:tcPr>
            <w:tcW w:w="132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rsidR="00E952EC" w:rsidRDefault="00EE0C3B">
            <w:pPr>
              <w:jc w:val="center"/>
            </w:pPr>
            <w:r>
              <w:t>90 %</w:t>
            </w:r>
          </w:p>
        </w:tc>
      </w:tr>
      <w:tr w:rsidR="00E952EC">
        <w:tc>
          <w:tcPr>
            <w:tcW w:w="246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rsidR="00E952EC" w:rsidRDefault="00EE0C3B">
            <w:pPr>
              <w:rPr>
                <w:b/>
              </w:rPr>
            </w:pPr>
            <w:r>
              <w:rPr>
                <w:b/>
              </w:rPr>
              <w:t>Controllo dell'efficacia dei trattamenti</w:t>
            </w:r>
          </w:p>
        </w:tc>
        <w:tc>
          <w:tcPr>
            <w:tcW w:w="537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rsidR="00E952EC" w:rsidRDefault="00EE0C3B">
            <w:r>
              <w:t>Comuni sottoposti ad attività verifica dell’efficacia/qualità degli interventi di disinfestazione</w:t>
            </w:r>
          </w:p>
        </w:tc>
        <w:tc>
          <w:tcPr>
            <w:tcW w:w="132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rsidR="00E952EC" w:rsidRDefault="00EE0C3B">
            <w:pPr>
              <w:jc w:val="center"/>
            </w:pPr>
            <w:r>
              <w:t>40%</w:t>
            </w:r>
          </w:p>
        </w:tc>
      </w:tr>
    </w:tbl>
    <w:p w:rsidR="00E952EC" w:rsidRDefault="00E952EC"/>
    <w:p w:rsidR="00E952EC" w:rsidRDefault="00EE0C3B">
      <w:r>
        <w:t>Ulteriori indicatori utili al monitoraggio degli obiettivi del piano (ridurre il carico di malattia, limitare la diffusione virale e accrescere la consapevolezza del rischio nella popolazione) saranno oggetto di ulteriore approfondimento.</w:t>
      </w:r>
      <w:r>
        <w:br w:type="page"/>
      </w:r>
    </w:p>
    <w:p w:rsidR="00E952EC" w:rsidRDefault="00EE0C3B">
      <w:pPr>
        <w:pStyle w:val="Titolo1"/>
        <w:widowControl w:val="0"/>
      </w:pPr>
      <w:bookmarkStart w:id="28" w:name="_5nepp8c7k98j" w:colFirst="0" w:colLast="0"/>
      <w:bookmarkEnd w:id="28"/>
      <w:r>
        <w:lastRenderedPageBreak/>
        <w:t>BIBLIOGRAFIA E RIFERIMENTI</w:t>
      </w:r>
    </w:p>
    <w:p w:rsidR="00E952EC" w:rsidRDefault="00E952EC">
      <w:pPr>
        <w:widowControl w:val="0"/>
        <w:jc w:val="left"/>
        <w:rPr>
          <w:b/>
        </w:rPr>
      </w:pPr>
    </w:p>
    <w:p w:rsidR="00E952EC" w:rsidRDefault="00EE0C3B">
      <w:pPr>
        <w:numPr>
          <w:ilvl w:val="0"/>
          <w:numId w:val="12"/>
        </w:numPr>
        <w:spacing w:after="200"/>
      </w:pPr>
      <w:r>
        <w:rPr>
          <w:i/>
        </w:rPr>
        <w:t>European Centre for Disease Prevention and Control. Vector control practices and strategies against West Nile virus. Stockholm: ECDC; 2020</w:t>
      </w:r>
    </w:p>
    <w:p w:rsidR="00E952EC" w:rsidRDefault="00EE0C3B">
      <w:pPr>
        <w:numPr>
          <w:ilvl w:val="0"/>
          <w:numId w:val="12"/>
        </w:numPr>
        <w:spacing w:after="200"/>
        <w:rPr>
          <w:i/>
        </w:rPr>
      </w:pPr>
      <w:r>
        <w:rPr>
          <w:i/>
        </w:rPr>
        <w:t>European Centre for Disease Prevention and Control. West Nile virus risk assessment tool Stockholm: ECDC; 2013</w:t>
      </w:r>
    </w:p>
    <w:p w:rsidR="00E952EC" w:rsidRDefault="00EE0C3B">
      <w:pPr>
        <w:numPr>
          <w:ilvl w:val="0"/>
          <w:numId w:val="12"/>
        </w:numPr>
        <w:spacing w:after="200"/>
        <w:rPr>
          <w:i/>
        </w:rPr>
      </w:pPr>
      <w:r>
        <w:rPr>
          <w:i/>
        </w:rPr>
        <w:t>Piano Nazionale di Prevenzione, Sorveglianza e risposta alle Arbovirosi 2020-2025</w:t>
      </w:r>
    </w:p>
    <w:p w:rsidR="00E952EC" w:rsidRDefault="00EE0C3B">
      <w:pPr>
        <w:numPr>
          <w:ilvl w:val="0"/>
          <w:numId w:val="12"/>
        </w:numPr>
        <w:spacing w:after="200"/>
        <w:rPr>
          <w:i/>
        </w:rPr>
      </w:pPr>
      <w:r>
        <w:rPr>
          <w:i/>
        </w:rPr>
        <w:t>Linee operative per la sorveglianza delle Arbovirosi nella Regione del Veneto per l’anno 2022</w:t>
      </w:r>
    </w:p>
    <w:p w:rsidR="00E952EC" w:rsidRDefault="00EE0C3B">
      <w:pPr>
        <w:numPr>
          <w:ilvl w:val="0"/>
          <w:numId w:val="12"/>
        </w:numPr>
        <w:spacing w:before="240" w:after="200"/>
        <w:rPr>
          <w:i/>
        </w:rPr>
      </w:pPr>
      <w:r>
        <w:rPr>
          <w:i/>
        </w:rPr>
        <w:t xml:space="preserve">Hongoh V, et al. (2016) Assessing Interventions to Manage West Nile Virus Using MultiCriteria Decision Analysis with Risk Scenarios. PLoS ONE11(8): e0160651. </w:t>
      </w:r>
    </w:p>
    <w:p w:rsidR="00E952EC" w:rsidRDefault="00EE0C3B">
      <w:pPr>
        <w:numPr>
          <w:ilvl w:val="0"/>
          <w:numId w:val="12"/>
        </w:numPr>
        <w:spacing w:before="240" w:after="200"/>
        <w:rPr>
          <w:i/>
        </w:rPr>
      </w:pPr>
      <w:r>
        <w:rPr>
          <w:i/>
        </w:rPr>
        <w:t xml:space="preserve">García San Miguel Rodríguez-Alarcón Lucía et al. Unprecedented increase of West Nile virus neuroinvasive disease, Spain, summer 2020. Euro Surveill. 2021;26(19):pii=2002010. </w:t>
      </w:r>
    </w:p>
    <w:p w:rsidR="00E952EC" w:rsidRDefault="00EE0C3B">
      <w:pPr>
        <w:numPr>
          <w:ilvl w:val="0"/>
          <w:numId w:val="12"/>
        </w:numPr>
        <w:spacing w:before="240" w:after="200"/>
        <w:rPr>
          <w:i/>
        </w:rPr>
      </w:pPr>
      <w:r>
        <w:rPr>
          <w:i/>
        </w:rPr>
        <w:t>García-Carrasco, J.-M., Muñoz, A.-R., &amp; Real, R. (2021). Anticipating the locations in Europe of high-risk areas for West Nile virus outbreaks in 2021. Zoonoses and Public Health, 68, 982–986.</w:t>
      </w:r>
    </w:p>
    <w:p w:rsidR="00E952EC" w:rsidRDefault="00EE0C3B">
      <w:pPr>
        <w:numPr>
          <w:ilvl w:val="0"/>
          <w:numId w:val="12"/>
        </w:numPr>
        <w:spacing w:before="240" w:after="200"/>
        <w:rPr>
          <w:i/>
        </w:rPr>
      </w:pPr>
      <w:r>
        <w:rPr>
          <w:i/>
        </w:rPr>
        <w:t xml:space="preserve">Barzon L et al. Early start of seasonal transmission and co-circulation of West Nile virus lineage 2 and a newly introduced lineage 1 strain, northern Italy, June 2022. Euro Surveill. 2022 Jul;27(29):2200548. </w:t>
      </w:r>
    </w:p>
    <w:p w:rsidR="00E952EC" w:rsidRDefault="00EE0C3B">
      <w:pPr>
        <w:numPr>
          <w:ilvl w:val="0"/>
          <w:numId w:val="12"/>
        </w:numPr>
        <w:spacing w:before="240" w:after="200"/>
        <w:rPr>
          <w:i/>
        </w:rPr>
      </w:pPr>
      <w:r>
        <w:rPr>
          <w:i/>
        </w:rPr>
        <w:t xml:space="preserve">Marini, G. et al. (2018) A modelling analysis of West Nile virus transmission and human infection risk in Veneto (Italy). In: Ricciardi, W.; Marcheggiani, S.; Puccinelli, C.; Carere, M.; Sofia, T.; Giuliano, F.; Dogliotti, E.; Mancini, L. (edited by) First scientific symposium health and climate change, Rome, Italy, December 3-5, 2018. Roma: Istituto Superiore di Sanità: 98. </w:t>
      </w:r>
    </w:p>
    <w:p w:rsidR="00E952EC" w:rsidRDefault="00EE0C3B">
      <w:pPr>
        <w:numPr>
          <w:ilvl w:val="0"/>
          <w:numId w:val="12"/>
        </w:numPr>
        <w:spacing w:before="240" w:after="200"/>
        <w:rPr>
          <w:i/>
        </w:rPr>
      </w:pPr>
      <w:r>
        <w:rPr>
          <w:i/>
        </w:rPr>
        <w:t>Marini, G. et al. (2018) West Nile virus transmission and human infection risk in Veneto (Italy): a modelling analysis. Scientific Reports | (2018) 8:14005.</w:t>
      </w:r>
    </w:p>
    <w:p w:rsidR="00E952EC" w:rsidRDefault="00EE0C3B">
      <w:pPr>
        <w:numPr>
          <w:ilvl w:val="0"/>
          <w:numId w:val="12"/>
        </w:numPr>
        <w:spacing w:before="240" w:after="200"/>
        <w:rPr>
          <w:i/>
        </w:rPr>
      </w:pPr>
      <w:r>
        <w:rPr>
          <w:i/>
        </w:rPr>
        <w:t>U.S. Department of Health and Human Services, Public Health Service, Centers for Disease Control and Prevention, National Center for Emerging and Zoonotic Infectious Diseases, Division of Vector-Borne Diseases.  West Nile Virus in the United States: Guidelines for Surveillance, Prevention, and Control, 4</w:t>
      </w:r>
      <w:r>
        <w:rPr>
          <w:i/>
          <w:vertAlign w:val="superscript"/>
        </w:rPr>
        <w:t>th</w:t>
      </w:r>
      <w:r>
        <w:rPr>
          <w:i/>
        </w:rPr>
        <w:t xml:space="preserve"> Revision - June 14, 2013</w:t>
      </w:r>
    </w:p>
    <w:p w:rsidR="00E952EC" w:rsidRDefault="00EE0C3B">
      <w:pPr>
        <w:numPr>
          <w:ilvl w:val="0"/>
          <w:numId w:val="12"/>
        </w:numPr>
        <w:spacing w:before="240" w:after="200"/>
        <w:rPr>
          <w:i/>
        </w:rPr>
      </w:pPr>
      <w:r>
        <w:rPr>
          <w:i/>
        </w:rPr>
        <w:t>Peel Public Health Vector-Borne Disease 2016 Technical Report &amp; 2017 Prevention Plan</w:t>
      </w:r>
    </w:p>
    <w:p w:rsidR="00E952EC" w:rsidRDefault="00EE0C3B">
      <w:pPr>
        <w:numPr>
          <w:ilvl w:val="0"/>
          <w:numId w:val="12"/>
        </w:numPr>
        <w:spacing w:before="240" w:after="200"/>
        <w:rPr>
          <w:i/>
        </w:rPr>
      </w:pPr>
      <w:r>
        <w:rPr>
          <w:i/>
        </w:rPr>
        <w:t>Bamotra M, et al. (2020) Evaluation of a West Nile virus risk-assessment tool used at a local health unit. EHR Vol. 63(1) 21–26.</w:t>
      </w:r>
    </w:p>
    <w:p w:rsidR="00E952EC" w:rsidRDefault="00EE0C3B">
      <w:pPr>
        <w:numPr>
          <w:ilvl w:val="0"/>
          <w:numId w:val="12"/>
        </w:numPr>
        <w:spacing w:before="240" w:after="200"/>
        <w:rPr>
          <w:i/>
        </w:rPr>
      </w:pPr>
      <w:r>
        <w:rPr>
          <w:i/>
        </w:rPr>
        <w:t>Vogels, C. et al. (2017) Modelling West Nile virus transmission risk in Europe: effect of temperature and mosquito biotypes on the basic reproduction number. Scientific Reports | 7: 5022.</w:t>
      </w:r>
    </w:p>
    <w:p w:rsidR="00E952EC" w:rsidRDefault="00E952EC">
      <w:pPr>
        <w:spacing w:before="240" w:after="200"/>
        <w:ind w:left="720"/>
        <w:rPr>
          <w:i/>
        </w:rPr>
      </w:pPr>
    </w:p>
    <w:p w:rsidR="00E952EC" w:rsidRDefault="00E952EC">
      <w:pPr>
        <w:spacing w:before="240" w:after="200"/>
        <w:rPr>
          <w:i/>
        </w:rPr>
        <w:sectPr w:rsidR="00E952EC">
          <w:pgSz w:w="11906" w:h="16838"/>
          <w:pgMar w:top="1440" w:right="1440" w:bottom="1440" w:left="1440" w:header="720" w:footer="720" w:gutter="0"/>
          <w:cols w:space="720"/>
        </w:sectPr>
      </w:pPr>
    </w:p>
    <w:p w:rsidR="00E952EC" w:rsidRDefault="00EE0C3B">
      <w:pPr>
        <w:pStyle w:val="Titolo1"/>
      </w:pPr>
      <w:bookmarkStart w:id="29" w:name="_djjtvxelqiv" w:colFirst="0" w:colLast="0"/>
      <w:bookmarkEnd w:id="29"/>
      <w:r>
        <w:lastRenderedPageBreak/>
        <w:t>Allegato 1. Approfondimento Epidemiologico West Nile Virus - Agosto 2022</w:t>
      </w:r>
    </w:p>
    <w:p w:rsidR="00E952EC" w:rsidRDefault="00E952EC">
      <w:pPr>
        <w:rPr>
          <w:b/>
        </w:rPr>
      </w:pPr>
    </w:p>
    <w:p w:rsidR="00E952EC" w:rsidRDefault="00EE0C3B">
      <w:pPr>
        <w:pStyle w:val="Titolo2"/>
      </w:pPr>
      <w:bookmarkStart w:id="30" w:name="_87xzjtkp9km8" w:colFirst="0" w:colLast="0"/>
      <w:bookmarkEnd w:id="30"/>
      <w:r>
        <w:t>Epidemiologia umana</w:t>
      </w:r>
    </w:p>
    <w:p w:rsidR="00E952EC" w:rsidRDefault="00E952EC">
      <w:pPr>
        <w:rPr>
          <w:b/>
        </w:rPr>
      </w:pPr>
    </w:p>
    <w:p w:rsidR="00E952EC" w:rsidRDefault="00EE0C3B">
      <w:pPr>
        <w:rPr>
          <w:b/>
        </w:rPr>
      </w:pPr>
      <w:r>
        <w:rPr>
          <w:b/>
        </w:rPr>
        <w:t>Europa</w:t>
      </w:r>
    </w:p>
    <w:p w:rsidR="00E952EC" w:rsidRDefault="00E952EC">
      <w:pPr>
        <w:rPr>
          <w:b/>
        </w:rPr>
      </w:pPr>
    </w:p>
    <w:p w:rsidR="00E952EC" w:rsidRDefault="00EE0C3B">
      <w:pPr>
        <w:pBdr>
          <w:top w:val="nil"/>
          <w:left w:val="nil"/>
          <w:bottom w:val="nil"/>
          <w:right w:val="nil"/>
          <w:between w:val="nil"/>
        </w:pBdr>
      </w:pPr>
      <w:r>
        <w:t>Dall'inizio della stagione di trasmissione al 17 agosto 2022 (Figura 1), i paesi UE/SEE hanno segnalato 294 casi umani di infezione da WNV in Italia (230), Grecia (59), Austria (2), Romania (2) e Slovacchia ( 1). Ci sono stati 15 decessi nei paesi UE/SEE in Italia (13) e Grecia (2). I paesi confinanti con l'UE hanno segnalato 53 casi umani di infezione da WNV in Serbia e tre decessi in Serbia.</w:t>
      </w:r>
    </w:p>
    <w:p w:rsidR="00E952EC" w:rsidRDefault="00EE0C3B">
      <w:pPr>
        <w:pBdr>
          <w:top w:val="nil"/>
          <w:left w:val="nil"/>
          <w:bottom w:val="nil"/>
          <w:right w:val="nil"/>
          <w:between w:val="nil"/>
        </w:pBdr>
      </w:pPr>
      <w:r>
        <w:t>Nello stesso periodo, i paesi dell'UE/SEE hanno segnalato 12 focolai tra gli equidi e 52 tra gli uccelli. Focolai tra gli equidi sono stati segnalati da Italia (10), Francia (1) e Ungheria (1). Focolai tra i volatili sono stati segnalati dall'Italia (51) e dalla Germania (1).</w:t>
      </w:r>
    </w:p>
    <w:p w:rsidR="00E952EC" w:rsidRDefault="00E952EC"/>
    <w:p w:rsidR="00E952EC" w:rsidRDefault="00EE0C3B">
      <w:r>
        <w:t>Sebbene la distribuzione dei casi in UE/SEE risulti sovrapponibile con la media 2017-2021 (Figura 2), la georeferenziazione degli stessi evidenzia una concentrazione dei casi in aree specifiche, interessando in particolar modo il Nord-Est della penisola. La circolazione di WNV in specifiche aree geografiche è supportata anche dalla distribuzione dei casi negli ospiti di amplificazione (Figura 3).</w:t>
      </w:r>
    </w:p>
    <w:p w:rsidR="00E952EC" w:rsidRDefault="00E952EC"/>
    <w:p w:rsidR="00E952EC" w:rsidRDefault="00EE0C3B">
      <w:r>
        <w:t>Nell’analisi delle tabelle e figure di seguito riportate si evidenzia che i dati di agosto 2022 risultano incompleti legati al momento dell’analisi e non ancora consolidati.</w:t>
      </w:r>
    </w:p>
    <w:p w:rsidR="00E952EC" w:rsidRDefault="00E952EC"/>
    <w:p w:rsidR="00E952EC" w:rsidRDefault="00EE0C3B">
      <w:r>
        <w:rPr>
          <w:noProof/>
          <w:lang w:val="it-IT"/>
        </w:rPr>
        <w:drawing>
          <wp:inline distT="114300" distB="114300" distL="114300" distR="114300">
            <wp:extent cx="5731200" cy="4051300"/>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cstate="print"/>
                    <a:srcRect/>
                    <a:stretch>
                      <a:fillRect/>
                    </a:stretch>
                  </pic:blipFill>
                  <pic:spPr>
                    <a:xfrm>
                      <a:off x="0" y="0"/>
                      <a:ext cx="5731200" cy="4051300"/>
                    </a:xfrm>
                    <a:prstGeom prst="rect">
                      <a:avLst/>
                    </a:prstGeom>
                    <a:ln/>
                  </pic:spPr>
                </pic:pic>
              </a:graphicData>
            </a:graphic>
          </wp:inline>
        </w:drawing>
      </w:r>
    </w:p>
    <w:p w:rsidR="00E952EC" w:rsidRDefault="00E952EC"/>
    <w:p w:rsidR="00E952EC" w:rsidRDefault="00EE0C3B">
      <w:pPr>
        <w:rPr>
          <w:sz w:val="18"/>
          <w:szCs w:val="18"/>
        </w:rPr>
      </w:pPr>
      <w:r>
        <w:rPr>
          <w:sz w:val="18"/>
          <w:szCs w:val="18"/>
        </w:rPr>
        <w:t>Figura 1: ECDC, Distribuzione dei casi umani di West Nile virus in UE/SEE nella stagione di sorveglianza 2022, aggiornato al 17 Agosto.</w:t>
      </w:r>
    </w:p>
    <w:p w:rsidR="00E952EC" w:rsidRDefault="00E952EC"/>
    <w:p w:rsidR="00E952EC" w:rsidRDefault="00E952EC"/>
    <w:p w:rsidR="00E952EC" w:rsidRDefault="00EE0C3B">
      <w:r>
        <w:rPr>
          <w:noProof/>
          <w:lang w:val="it-IT"/>
        </w:rPr>
        <w:drawing>
          <wp:inline distT="114300" distB="114300" distL="114300" distR="114300">
            <wp:extent cx="5731200" cy="27305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cstate="print"/>
                    <a:srcRect/>
                    <a:stretch>
                      <a:fillRect/>
                    </a:stretch>
                  </pic:blipFill>
                  <pic:spPr>
                    <a:xfrm>
                      <a:off x="0" y="0"/>
                      <a:ext cx="5731200" cy="2730500"/>
                    </a:xfrm>
                    <a:prstGeom prst="rect">
                      <a:avLst/>
                    </a:prstGeom>
                    <a:ln/>
                  </pic:spPr>
                </pic:pic>
              </a:graphicData>
            </a:graphic>
          </wp:inline>
        </w:drawing>
      </w:r>
    </w:p>
    <w:p w:rsidR="00E952EC" w:rsidRDefault="00E952EC"/>
    <w:p w:rsidR="00E952EC" w:rsidRDefault="00EE0C3B">
      <w:pPr>
        <w:rPr>
          <w:sz w:val="18"/>
          <w:szCs w:val="18"/>
        </w:rPr>
      </w:pPr>
      <w:r>
        <w:rPr>
          <w:sz w:val="18"/>
          <w:szCs w:val="18"/>
        </w:rPr>
        <w:t>Figura 2: ECDC,</w:t>
      </w:r>
      <w:hyperlink r:id="rId18">
        <w:r>
          <w:rPr>
            <w:sz w:val="18"/>
            <w:szCs w:val="18"/>
          </w:rPr>
          <w:t>The European Surveillance System (TESS</w:t>
        </w:r>
      </w:hyperlink>
      <w:r>
        <w:rPr>
          <w:sz w:val="18"/>
          <w:szCs w:val="18"/>
        </w:rPr>
        <w:t>y), WNV Dashboard,  Distribuzione dei casi umani di West Nile virus in UE/SEE per l’anno 2022, confrontati con la media della distribuzione dei casi negli anni 2017-2021</w:t>
      </w:r>
      <w:r>
        <w:rPr>
          <w:sz w:val="18"/>
          <w:szCs w:val="18"/>
          <w:vertAlign w:val="superscript"/>
        </w:rPr>
        <w:footnoteReference w:id="4"/>
      </w:r>
      <w:r>
        <w:rPr>
          <w:sz w:val="18"/>
          <w:szCs w:val="18"/>
        </w:rPr>
        <w:t>.</w:t>
      </w:r>
    </w:p>
    <w:p w:rsidR="00E952EC" w:rsidRDefault="00E952EC"/>
    <w:p w:rsidR="00E952EC" w:rsidRDefault="00E952EC"/>
    <w:p w:rsidR="00E952EC" w:rsidRDefault="00E952EC"/>
    <w:p w:rsidR="00E952EC" w:rsidRDefault="00EE0C3B">
      <w:r>
        <w:rPr>
          <w:noProof/>
          <w:lang w:val="it-IT"/>
        </w:rPr>
        <w:drawing>
          <wp:inline distT="114300" distB="114300" distL="114300" distR="114300">
            <wp:extent cx="5734050" cy="3154226"/>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cstate="print"/>
                    <a:srcRect t="2314"/>
                    <a:stretch>
                      <a:fillRect/>
                    </a:stretch>
                  </pic:blipFill>
                  <pic:spPr>
                    <a:xfrm>
                      <a:off x="0" y="0"/>
                      <a:ext cx="5734050" cy="3154226"/>
                    </a:xfrm>
                    <a:prstGeom prst="rect">
                      <a:avLst/>
                    </a:prstGeom>
                    <a:ln/>
                  </pic:spPr>
                </pic:pic>
              </a:graphicData>
            </a:graphic>
          </wp:inline>
        </w:drawing>
      </w:r>
    </w:p>
    <w:p w:rsidR="00E952EC" w:rsidRDefault="00E952EC"/>
    <w:p w:rsidR="00E952EC" w:rsidRDefault="00EE0C3B">
      <w:pPr>
        <w:rPr>
          <w:sz w:val="18"/>
          <w:szCs w:val="18"/>
        </w:rPr>
      </w:pPr>
      <w:r>
        <w:rPr>
          <w:sz w:val="18"/>
          <w:szCs w:val="18"/>
        </w:rPr>
        <w:t xml:space="preserve">Figura 3: ECDC, </w:t>
      </w:r>
      <w:hyperlink r:id="rId20">
        <w:r>
          <w:rPr>
            <w:sz w:val="18"/>
            <w:szCs w:val="18"/>
          </w:rPr>
          <w:t xml:space="preserve">Animal Disease Information System (ADIS), </w:t>
        </w:r>
      </w:hyperlink>
      <w:r>
        <w:rPr>
          <w:sz w:val="18"/>
          <w:szCs w:val="18"/>
        </w:rPr>
        <w:t>WNV Dashboard,</w:t>
      </w:r>
      <w:hyperlink r:id="rId21">
        <w:r>
          <w:rPr>
            <w:sz w:val="18"/>
            <w:szCs w:val="18"/>
          </w:rPr>
          <w:t xml:space="preserve"> </w:t>
        </w:r>
      </w:hyperlink>
      <w:hyperlink r:id="rId22">
        <w:r>
          <w:rPr>
            <w:color w:val="0079C1"/>
            <w:sz w:val="19"/>
            <w:szCs w:val="19"/>
            <w:highlight w:val="white"/>
          </w:rPr>
          <w:t xml:space="preserve"> </w:t>
        </w:r>
      </w:hyperlink>
      <w:r>
        <w:rPr>
          <w:sz w:val="18"/>
          <w:szCs w:val="18"/>
        </w:rPr>
        <w:t>Distribuzione degli outbreaks di West Nile virus in UE/SEE per l’anno 2022 negli uccelli e negli equidi nella stagione di sorveglianza 2022, aggiornato al 17 Agosto</w:t>
      </w:r>
      <w:r>
        <w:rPr>
          <w:sz w:val="18"/>
          <w:szCs w:val="18"/>
          <w:vertAlign w:val="superscript"/>
        </w:rPr>
        <w:footnoteReference w:id="5"/>
      </w:r>
    </w:p>
    <w:p w:rsidR="00E952EC" w:rsidRDefault="00E952EC"/>
    <w:p w:rsidR="00E952EC" w:rsidRDefault="00E952EC"/>
    <w:p w:rsidR="00E952EC" w:rsidRDefault="00EE0C3B">
      <w:pPr>
        <w:rPr>
          <w:b/>
        </w:rPr>
      </w:pPr>
      <w:r>
        <w:br w:type="page"/>
      </w:r>
    </w:p>
    <w:p w:rsidR="00E952EC" w:rsidRDefault="00EE0C3B">
      <w:pPr>
        <w:rPr>
          <w:b/>
        </w:rPr>
      </w:pPr>
      <w:r>
        <w:rPr>
          <w:b/>
        </w:rPr>
        <w:lastRenderedPageBreak/>
        <w:t>Italia</w:t>
      </w:r>
    </w:p>
    <w:p w:rsidR="00E952EC" w:rsidRDefault="00EE0C3B">
      <w:pPr>
        <w:spacing w:line="240" w:lineRule="auto"/>
        <w:rPr>
          <w:i/>
        </w:rPr>
      </w:pPr>
      <w:r>
        <w:rPr>
          <w:i/>
        </w:rPr>
        <w:t>Fonte: Bollettino N. 9 del 17 agosto 2022 - RISULTATI NAZIONALI, IZS di Teramo ed ISS</w:t>
      </w:r>
    </w:p>
    <w:p w:rsidR="00E952EC" w:rsidRDefault="00E952EC">
      <w:pPr>
        <w:spacing w:line="240" w:lineRule="auto"/>
        <w:rPr>
          <w:i/>
        </w:rPr>
      </w:pPr>
    </w:p>
    <w:p w:rsidR="00E952EC" w:rsidRDefault="00EE0C3B">
      <w:pPr>
        <w:rPr>
          <w:i/>
        </w:rPr>
      </w:pPr>
      <w:r>
        <w:t xml:space="preserve">Da inizio giugno alla data del 17 agosto 2022 sono stati segnalati in Italia 230 casi umani confermati di infezione da West Nile Virus; di questi 127 si sono manifestati nella forma neuro-invasiva (14 Piemonte, 8 Lombardia, 71 Veneto, 3 Friuli-Venezia Giulia, 29 Emilia-Romagna, 1 Toscana, 1 Sardegna), 37 casi sono stati identificati in donatori di sangue (5 Piemonte, 5 Lombardia, 18 Veneto, 9 Emilia-Romagna), 63 sono stati casi di febbre (1 Piemonte, 4 Lombardia, 55 Veneto, 1 Friuli-Venezia Giulia, 2 Emilia-Romagna) e 3 casi riferiti sintomatici (tutti in Veneto). Tra i casi confermati, sono stati notificati 13 decessi (8 in Veneto, 2 in Piemonte, 1 in Lombardia e 2 in Emilia-Romagna). </w:t>
      </w:r>
    </w:p>
    <w:p w:rsidR="00E952EC" w:rsidRDefault="00E952EC"/>
    <w:p w:rsidR="00E952EC" w:rsidRDefault="00EE0C3B">
      <w:r>
        <w:rPr>
          <w:noProof/>
          <w:lang w:val="it-IT"/>
        </w:rPr>
        <w:drawing>
          <wp:inline distT="114300" distB="114300" distL="114300" distR="114300">
            <wp:extent cx="3048000" cy="347662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cstate="print"/>
                    <a:srcRect l="1510" r="1812"/>
                    <a:stretch>
                      <a:fillRect/>
                    </a:stretch>
                  </pic:blipFill>
                  <pic:spPr>
                    <a:xfrm>
                      <a:off x="0" y="0"/>
                      <a:ext cx="3048000" cy="3476625"/>
                    </a:xfrm>
                    <a:prstGeom prst="rect">
                      <a:avLst/>
                    </a:prstGeom>
                    <a:ln/>
                  </pic:spPr>
                </pic:pic>
              </a:graphicData>
            </a:graphic>
          </wp:inline>
        </w:drawing>
      </w:r>
      <w:r>
        <w:rPr>
          <w:noProof/>
          <w:lang w:val="it-IT"/>
        </w:rPr>
        <w:drawing>
          <wp:inline distT="114300" distB="114300" distL="114300" distR="114300">
            <wp:extent cx="2495550" cy="561975"/>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cstate="print"/>
                    <a:srcRect l="29235" t="35698" r="27242" b="48565"/>
                    <a:stretch>
                      <a:fillRect/>
                    </a:stretch>
                  </pic:blipFill>
                  <pic:spPr>
                    <a:xfrm>
                      <a:off x="0" y="0"/>
                      <a:ext cx="2495550" cy="561975"/>
                    </a:xfrm>
                    <a:prstGeom prst="rect">
                      <a:avLst/>
                    </a:prstGeom>
                    <a:ln/>
                  </pic:spPr>
                </pic:pic>
              </a:graphicData>
            </a:graphic>
          </wp:inline>
        </w:drawing>
      </w:r>
    </w:p>
    <w:p w:rsidR="00E952EC" w:rsidRDefault="00EE0C3B">
      <w:pPr>
        <w:rPr>
          <w:sz w:val="18"/>
          <w:szCs w:val="18"/>
        </w:rPr>
      </w:pPr>
      <w:r>
        <w:rPr>
          <w:sz w:val="18"/>
          <w:szCs w:val="18"/>
        </w:rPr>
        <w:t>Figura 4: Province italiane con dimostrata circolazione di WNV in vettori, animali e uomo (donatori asintomatici, febbri e casi neuroinvasivi confermati).</w:t>
      </w:r>
    </w:p>
    <w:p w:rsidR="00E952EC" w:rsidRDefault="00E952EC"/>
    <w:p w:rsidR="00E952EC" w:rsidRDefault="00EE0C3B">
      <w:pPr>
        <w:jc w:val="center"/>
      </w:pPr>
      <w:r>
        <w:rPr>
          <w:noProof/>
          <w:lang w:val="it-IT"/>
        </w:rPr>
        <w:lastRenderedPageBreak/>
        <w:drawing>
          <wp:inline distT="114300" distB="114300" distL="114300" distR="114300">
            <wp:extent cx="4421025" cy="4695501"/>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cstate="print"/>
                    <a:srcRect l="21262" t="15560" r="32890" b="6257"/>
                    <a:stretch>
                      <a:fillRect/>
                    </a:stretch>
                  </pic:blipFill>
                  <pic:spPr>
                    <a:xfrm>
                      <a:off x="0" y="0"/>
                      <a:ext cx="4421025" cy="4695501"/>
                    </a:xfrm>
                    <a:prstGeom prst="rect">
                      <a:avLst/>
                    </a:prstGeom>
                    <a:ln/>
                  </pic:spPr>
                </pic:pic>
              </a:graphicData>
            </a:graphic>
          </wp:inline>
        </w:drawing>
      </w:r>
    </w:p>
    <w:p w:rsidR="00E952EC" w:rsidRDefault="00EE0C3B">
      <w:pPr>
        <w:rPr>
          <w:sz w:val="18"/>
          <w:szCs w:val="18"/>
        </w:rPr>
      </w:pPr>
      <w:r>
        <w:rPr>
          <w:sz w:val="18"/>
          <w:szCs w:val="18"/>
        </w:rPr>
        <w:t>Tabella 1: Distribuzione dei casi confermati di WNND per provincia di residenza o di esposizione e fascia di età. Italia: 2022.</w:t>
      </w:r>
    </w:p>
    <w:p w:rsidR="00E952EC" w:rsidRDefault="00E952EC"/>
    <w:p w:rsidR="00E952EC" w:rsidRDefault="00EE0C3B">
      <w:r>
        <w:rPr>
          <w:noProof/>
          <w:lang w:val="it-IT"/>
        </w:rPr>
        <w:drawing>
          <wp:inline distT="114300" distB="114300" distL="114300" distR="114300">
            <wp:extent cx="5726430" cy="247506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cstate="print"/>
                    <a:srcRect l="3156" t="18085" r="24252" b="31914"/>
                    <a:stretch>
                      <a:fillRect/>
                    </a:stretch>
                  </pic:blipFill>
                  <pic:spPr>
                    <a:xfrm>
                      <a:off x="0" y="0"/>
                      <a:ext cx="5726430" cy="2475060"/>
                    </a:xfrm>
                    <a:prstGeom prst="rect">
                      <a:avLst/>
                    </a:prstGeom>
                    <a:ln/>
                  </pic:spPr>
                </pic:pic>
              </a:graphicData>
            </a:graphic>
          </wp:inline>
        </w:drawing>
      </w:r>
    </w:p>
    <w:p w:rsidR="00E952EC" w:rsidRDefault="00EE0C3B">
      <w:pPr>
        <w:rPr>
          <w:sz w:val="18"/>
          <w:szCs w:val="18"/>
        </w:rPr>
      </w:pPr>
      <w:r>
        <w:rPr>
          <w:sz w:val="18"/>
          <w:szCs w:val="18"/>
        </w:rPr>
        <w:t>Figura 5: Andamento dei casi confermati di WNND per mese insorgenza sintomi. Italia: 2012 – 2022.</w:t>
      </w:r>
    </w:p>
    <w:p w:rsidR="00E952EC" w:rsidRDefault="00E952EC">
      <w:pPr>
        <w:rPr>
          <w:b/>
        </w:rPr>
      </w:pPr>
    </w:p>
    <w:p w:rsidR="00E952EC" w:rsidRDefault="00E952EC">
      <w:pPr>
        <w:rPr>
          <w:b/>
        </w:rPr>
      </w:pPr>
    </w:p>
    <w:p w:rsidR="00E952EC" w:rsidRDefault="00EE0C3B">
      <w:pPr>
        <w:rPr>
          <w:b/>
        </w:rPr>
      </w:pPr>
      <w:r>
        <w:br w:type="page"/>
      </w:r>
    </w:p>
    <w:p w:rsidR="00E952EC" w:rsidRDefault="00EE0C3B">
      <w:pPr>
        <w:rPr>
          <w:b/>
        </w:rPr>
      </w:pPr>
      <w:r>
        <w:rPr>
          <w:b/>
        </w:rPr>
        <w:lastRenderedPageBreak/>
        <w:t>Veneto</w:t>
      </w:r>
    </w:p>
    <w:p w:rsidR="00E952EC" w:rsidRDefault="00EE0C3B">
      <w:pPr>
        <w:spacing w:line="240" w:lineRule="auto"/>
        <w:rPr>
          <w:b/>
        </w:rPr>
      </w:pPr>
      <w:r>
        <w:rPr>
          <w:i/>
        </w:rPr>
        <w:t>Fonte: Bollettino Sorveglianza delle Arbovirosi - anno 2022 n. 7 del 26/08/2022, Direzione Prevenzione, Sicurezza alimentare, Veterinaria Area Sanità e Sociale | Regione del Veneto</w:t>
      </w:r>
    </w:p>
    <w:p w:rsidR="00E952EC" w:rsidRDefault="00E952EC">
      <w:pPr>
        <w:rPr>
          <w:b/>
        </w:rPr>
      </w:pPr>
    </w:p>
    <w:p w:rsidR="00E952EC" w:rsidRDefault="00EE0C3B">
      <w:r>
        <w:t>Alla data del 26 agosto 2022 in Veneto sono stati confermati 104 casi di WNF, di cui 101 autoctoni e 89 casi di WNND, tutti autoctoni; inoltre, 19 sono i casi probabili di WNF e 15 quelli probabili di WNND. In totale, i casi di malattia (febbre o neuroinvasiva) da virus West Nile probabili e confermati in Veneto sono 227.</w:t>
      </w:r>
    </w:p>
    <w:p w:rsidR="00E952EC" w:rsidRDefault="00EE0C3B">
      <w:pPr>
        <w:jc w:val="center"/>
      </w:pPr>
      <w:r>
        <w:rPr>
          <w:noProof/>
          <w:lang w:val="it-IT"/>
        </w:rPr>
        <w:drawing>
          <wp:inline distT="114300" distB="114300" distL="114300" distR="114300">
            <wp:extent cx="2885657" cy="3165735"/>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cstate="print"/>
                    <a:srcRect/>
                    <a:stretch>
                      <a:fillRect/>
                    </a:stretch>
                  </pic:blipFill>
                  <pic:spPr>
                    <a:xfrm>
                      <a:off x="0" y="0"/>
                      <a:ext cx="2885657" cy="3165735"/>
                    </a:xfrm>
                    <a:prstGeom prst="rect">
                      <a:avLst/>
                    </a:prstGeom>
                    <a:ln/>
                  </pic:spPr>
                </pic:pic>
              </a:graphicData>
            </a:graphic>
          </wp:inline>
        </w:drawing>
      </w:r>
    </w:p>
    <w:p w:rsidR="00E952EC" w:rsidRDefault="00EE0C3B">
      <w:pPr>
        <w:rPr>
          <w:i/>
          <w:sz w:val="18"/>
          <w:szCs w:val="18"/>
        </w:rPr>
      </w:pPr>
      <w:r>
        <w:rPr>
          <w:sz w:val="18"/>
          <w:szCs w:val="18"/>
        </w:rPr>
        <w:t>Figura 6: Distribuzione geografica dei casi confermati di malattia febbrile e neuroinvasiva nell’uomo da WNV.</w:t>
      </w:r>
    </w:p>
    <w:p w:rsidR="00E952EC" w:rsidRDefault="00E952EC">
      <w:pPr>
        <w:rPr>
          <w:i/>
        </w:rPr>
      </w:pPr>
    </w:p>
    <w:p w:rsidR="00E952EC" w:rsidRDefault="00E952EC"/>
    <w:p w:rsidR="00E952EC" w:rsidRDefault="00EE0C3B">
      <w:r>
        <w:rPr>
          <w:noProof/>
          <w:lang w:val="it-IT"/>
        </w:rPr>
        <w:drawing>
          <wp:inline distT="114300" distB="114300" distL="114300" distR="114300">
            <wp:extent cx="5731200" cy="16129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cstate="print"/>
                    <a:srcRect/>
                    <a:stretch>
                      <a:fillRect/>
                    </a:stretch>
                  </pic:blipFill>
                  <pic:spPr>
                    <a:xfrm>
                      <a:off x="0" y="0"/>
                      <a:ext cx="5731200" cy="1612900"/>
                    </a:xfrm>
                    <a:prstGeom prst="rect">
                      <a:avLst/>
                    </a:prstGeom>
                    <a:ln/>
                  </pic:spPr>
                </pic:pic>
              </a:graphicData>
            </a:graphic>
          </wp:inline>
        </w:drawing>
      </w:r>
    </w:p>
    <w:p w:rsidR="00E952EC" w:rsidRDefault="00EE0C3B">
      <w:pPr>
        <w:rPr>
          <w:sz w:val="18"/>
          <w:szCs w:val="18"/>
        </w:rPr>
      </w:pPr>
      <w:r>
        <w:rPr>
          <w:sz w:val="18"/>
          <w:szCs w:val="18"/>
        </w:rPr>
        <w:t>Tabella 7: Distribuzione di casi di infezione da WNV per tipo di infezione (febbre e malattia neuroinvasiva), per provincia di segnalazione e, a destra, i dati sui decessi.</w:t>
      </w:r>
      <w:r>
        <w:br w:type="page"/>
      </w:r>
    </w:p>
    <w:p w:rsidR="00E952EC" w:rsidRDefault="00EE0C3B">
      <w:pPr>
        <w:pStyle w:val="Titolo2"/>
        <w:jc w:val="left"/>
      </w:pPr>
      <w:bookmarkStart w:id="31" w:name="_y475jbel5a7" w:colFirst="0" w:colLast="0"/>
      <w:bookmarkEnd w:id="31"/>
      <w:r>
        <w:lastRenderedPageBreak/>
        <w:t>Epidemiologia entomologica e veterinaria</w:t>
      </w:r>
    </w:p>
    <w:p w:rsidR="00E952EC" w:rsidRDefault="00EE0C3B">
      <w:pPr>
        <w:spacing w:before="40"/>
        <w:jc w:val="left"/>
        <w:rPr>
          <w:i/>
        </w:rPr>
      </w:pPr>
      <w:r>
        <w:rPr>
          <w:i/>
        </w:rPr>
        <w:t>(fonte: Bollettino N. 9 del 17.8.2022 - RISULTATI NAZIONALI, IZS di Teramo ed ISS, aggiornato al 17.8.2022)</w:t>
      </w:r>
    </w:p>
    <w:p w:rsidR="00E952EC" w:rsidRDefault="00E952EC"/>
    <w:p w:rsidR="00E952EC" w:rsidRDefault="00EE0C3B">
      <w:pPr>
        <w:spacing w:before="40"/>
        <w:jc w:val="left"/>
        <w:rPr>
          <w:b/>
        </w:rPr>
      </w:pPr>
      <w:r>
        <w:rPr>
          <w:b/>
        </w:rPr>
        <w:t>Culicidi</w:t>
      </w:r>
    </w:p>
    <w:p w:rsidR="00E952EC" w:rsidRDefault="00EE0C3B">
      <w:pPr>
        <w:jc w:val="center"/>
      </w:pPr>
      <w:r>
        <w:rPr>
          <w:noProof/>
          <w:lang w:val="it-IT"/>
        </w:rPr>
        <w:drawing>
          <wp:inline distT="114300" distB="114300" distL="114300" distR="114300">
            <wp:extent cx="3140192" cy="3902211"/>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cstate="print"/>
                    <a:srcRect/>
                    <a:stretch>
                      <a:fillRect/>
                    </a:stretch>
                  </pic:blipFill>
                  <pic:spPr>
                    <a:xfrm>
                      <a:off x="0" y="0"/>
                      <a:ext cx="3140192" cy="3902211"/>
                    </a:xfrm>
                    <a:prstGeom prst="rect">
                      <a:avLst/>
                    </a:prstGeom>
                    <a:ln/>
                  </pic:spPr>
                </pic:pic>
              </a:graphicData>
            </a:graphic>
          </wp:inline>
        </w:drawing>
      </w:r>
      <w:r>
        <w:t xml:space="preserve">    </w:t>
      </w:r>
      <w:r>
        <w:rPr>
          <w:noProof/>
          <w:lang w:val="it-IT"/>
        </w:rPr>
        <w:drawing>
          <wp:inline distT="114300" distB="114300" distL="114300" distR="114300">
            <wp:extent cx="2379825" cy="310515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cstate="print"/>
                    <a:srcRect l="12513" t="6231" r="10891"/>
                    <a:stretch>
                      <a:fillRect/>
                    </a:stretch>
                  </pic:blipFill>
                  <pic:spPr>
                    <a:xfrm>
                      <a:off x="0" y="0"/>
                      <a:ext cx="2379825" cy="3105150"/>
                    </a:xfrm>
                    <a:prstGeom prst="rect">
                      <a:avLst/>
                    </a:prstGeom>
                    <a:ln/>
                  </pic:spPr>
                </pic:pic>
              </a:graphicData>
            </a:graphic>
          </wp:inline>
        </w:drawing>
      </w:r>
    </w:p>
    <w:p w:rsidR="00E952EC" w:rsidRDefault="00EE0C3B">
      <w:pPr>
        <w:rPr>
          <w:sz w:val="18"/>
          <w:szCs w:val="18"/>
        </w:rPr>
      </w:pPr>
      <w:r>
        <w:rPr>
          <w:sz w:val="18"/>
          <w:szCs w:val="18"/>
        </w:rPr>
        <w:t>Tabella 8: Pool di zanzare risultate positive nei confronti del WNV nel 2022.</w:t>
      </w:r>
    </w:p>
    <w:p w:rsidR="00E952EC" w:rsidRDefault="00EE0C3B">
      <w:pPr>
        <w:rPr>
          <w:sz w:val="18"/>
          <w:szCs w:val="18"/>
        </w:rPr>
      </w:pPr>
      <w:r>
        <w:rPr>
          <w:sz w:val="18"/>
          <w:szCs w:val="18"/>
        </w:rPr>
        <w:t>Figura 7: Distribuzione geografica dei pool di zanzare risultate positive nei confronti del WNV nel 2022.</w:t>
      </w:r>
    </w:p>
    <w:p w:rsidR="00E952EC" w:rsidRDefault="00E952EC"/>
    <w:p w:rsidR="00E952EC" w:rsidRDefault="00EE0C3B">
      <w:pPr>
        <w:rPr>
          <w:b/>
        </w:rPr>
      </w:pPr>
      <w:r>
        <w:rPr>
          <w:b/>
        </w:rPr>
        <w:t>Equidi</w:t>
      </w:r>
    </w:p>
    <w:p w:rsidR="00E952EC" w:rsidRDefault="00EE0C3B">
      <w:pPr>
        <w:rPr>
          <w:b/>
        </w:rPr>
      </w:pPr>
      <w:r>
        <w:rPr>
          <w:b/>
          <w:noProof/>
          <w:lang w:val="it-IT"/>
        </w:rPr>
        <w:drawing>
          <wp:inline distT="114300" distB="114300" distL="114300" distR="114300">
            <wp:extent cx="5811292" cy="1937097"/>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cstate="print"/>
                    <a:srcRect l="830" t="44837" r="17940" b="11835"/>
                    <a:stretch>
                      <a:fillRect/>
                    </a:stretch>
                  </pic:blipFill>
                  <pic:spPr>
                    <a:xfrm>
                      <a:off x="0" y="0"/>
                      <a:ext cx="5811292" cy="1937097"/>
                    </a:xfrm>
                    <a:prstGeom prst="rect">
                      <a:avLst/>
                    </a:prstGeom>
                    <a:ln/>
                  </pic:spPr>
                </pic:pic>
              </a:graphicData>
            </a:graphic>
          </wp:inline>
        </w:drawing>
      </w:r>
    </w:p>
    <w:p w:rsidR="00E952EC" w:rsidRDefault="00EE0C3B">
      <w:pPr>
        <w:rPr>
          <w:sz w:val="18"/>
          <w:szCs w:val="18"/>
        </w:rPr>
      </w:pPr>
      <w:r>
        <w:rPr>
          <w:sz w:val="18"/>
          <w:szCs w:val="18"/>
        </w:rPr>
        <w:t>Tabella 9: Focolai e casi di WND negli equidi nel 2022.</w:t>
      </w:r>
    </w:p>
    <w:p w:rsidR="00E952EC" w:rsidRDefault="00EE0C3B">
      <w:pPr>
        <w:rPr>
          <w:b/>
        </w:rPr>
      </w:pPr>
      <w:r>
        <w:rPr>
          <w:b/>
          <w:noProof/>
          <w:lang w:val="it-IT"/>
        </w:rPr>
        <w:lastRenderedPageBreak/>
        <w:drawing>
          <wp:inline distT="114300" distB="114300" distL="114300" distR="114300">
            <wp:extent cx="3228427" cy="3264458"/>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cstate="print"/>
                    <a:srcRect/>
                    <a:stretch>
                      <a:fillRect/>
                    </a:stretch>
                  </pic:blipFill>
                  <pic:spPr>
                    <a:xfrm>
                      <a:off x="0" y="0"/>
                      <a:ext cx="3228427" cy="3264458"/>
                    </a:xfrm>
                    <a:prstGeom prst="rect">
                      <a:avLst/>
                    </a:prstGeom>
                    <a:ln/>
                  </pic:spPr>
                </pic:pic>
              </a:graphicData>
            </a:graphic>
          </wp:inline>
        </w:drawing>
      </w:r>
    </w:p>
    <w:p w:rsidR="00E952EC" w:rsidRDefault="00EE0C3B">
      <w:pPr>
        <w:rPr>
          <w:sz w:val="18"/>
          <w:szCs w:val="18"/>
        </w:rPr>
      </w:pPr>
      <w:r>
        <w:rPr>
          <w:sz w:val="18"/>
          <w:szCs w:val="18"/>
        </w:rPr>
        <w:t>Figura 8: Distribuzione geografica dei casi di WND negli equidi nel 2022.</w:t>
      </w:r>
    </w:p>
    <w:p w:rsidR="00E952EC" w:rsidRDefault="00E952EC"/>
    <w:p w:rsidR="00E952EC" w:rsidRDefault="00EE0C3B">
      <w:pPr>
        <w:rPr>
          <w:b/>
        </w:rPr>
      </w:pPr>
      <w:r>
        <w:rPr>
          <w:b/>
        </w:rPr>
        <w:t>Avifauna selvatica</w:t>
      </w:r>
    </w:p>
    <w:p w:rsidR="00E952EC" w:rsidRDefault="00EE0C3B">
      <w:pPr>
        <w:rPr>
          <w:b/>
        </w:rPr>
      </w:pPr>
      <w:r>
        <w:rPr>
          <w:b/>
          <w:noProof/>
          <w:lang w:val="it-IT"/>
        </w:rPr>
        <w:drawing>
          <wp:inline distT="114300" distB="114300" distL="114300" distR="114300">
            <wp:extent cx="3586484" cy="360521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cstate="print"/>
                    <a:srcRect/>
                    <a:stretch>
                      <a:fillRect/>
                    </a:stretch>
                  </pic:blipFill>
                  <pic:spPr>
                    <a:xfrm>
                      <a:off x="0" y="0"/>
                      <a:ext cx="3586484" cy="3605213"/>
                    </a:xfrm>
                    <a:prstGeom prst="rect">
                      <a:avLst/>
                    </a:prstGeom>
                    <a:ln/>
                  </pic:spPr>
                </pic:pic>
              </a:graphicData>
            </a:graphic>
          </wp:inline>
        </w:drawing>
      </w:r>
      <w:r>
        <w:rPr>
          <w:b/>
        </w:rPr>
        <w:t xml:space="preserve"> </w:t>
      </w:r>
      <w:r>
        <w:rPr>
          <w:b/>
          <w:noProof/>
          <w:lang w:val="it-IT"/>
        </w:rPr>
        <w:drawing>
          <wp:inline distT="114300" distB="114300" distL="114300" distR="114300">
            <wp:extent cx="2019300" cy="2771775"/>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cstate="print"/>
                    <a:srcRect l="24463" r="5835"/>
                    <a:stretch>
                      <a:fillRect/>
                    </a:stretch>
                  </pic:blipFill>
                  <pic:spPr>
                    <a:xfrm>
                      <a:off x="0" y="0"/>
                      <a:ext cx="2019300" cy="2771775"/>
                    </a:xfrm>
                    <a:prstGeom prst="rect">
                      <a:avLst/>
                    </a:prstGeom>
                    <a:ln/>
                  </pic:spPr>
                </pic:pic>
              </a:graphicData>
            </a:graphic>
          </wp:inline>
        </w:drawing>
      </w:r>
    </w:p>
    <w:p w:rsidR="00E952EC" w:rsidRDefault="00EE0C3B">
      <w:pPr>
        <w:rPr>
          <w:sz w:val="18"/>
          <w:szCs w:val="18"/>
        </w:rPr>
      </w:pPr>
      <w:r>
        <w:rPr>
          <w:sz w:val="18"/>
          <w:szCs w:val="18"/>
        </w:rPr>
        <w:t>Tabella 10: Uccelli selvatici risultati positivi nei confronti del WNV nel 2022.</w:t>
      </w:r>
    </w:p>
    <w:p w:rsidR="00E952EC" w:rsidRDefault="00EE0C3B">
      <w:pPr>
        <w:rPr>
          <w:sz w:val="18"/>
          <w:szCs w:val="18"/>
        </w:rPr>
      </w:pPr>
      <w:r>
        <w:rPr>
          <w:sz w:val="18"/>
          <w:szCs w:val="18"/>
        </w:rPr>
        <w:t>Figura 9: Distribuzione geografica degli uccelli selvatici risultati positivi nei confronti del WNV nel 2022.</w:t>
      </w:r>
    </w:p>
    <w:p w:rsidR="00E952EC" w:rsidRDefault="00E952EC">
      <w:pPr>
        <w:rPr>
          <w:sz w:val="18"/>
          <w:szCs w:val="18"/>
        </w:rPr>
        <w:sectPr w:rsidR="00E952EC">
          <w:pgSz w:w="11906" w:h="16838"/>
          <w:pgMar w:top="1440" w:right="1440" w:bottom="1440" w:left="1440" w:header="720" w:footer="720" w:gutter="0"/>
          <w:cols w:space="720"/>
        </w:sectPr>
      </w:pPr>
    </w:p>
    <w:p w:rsidR="00E952EC" w:rsidRDefault="00EE0C3B">
      <w:pPr>
        <w:pStyle w:val="Titolo1"/>
        <w:widowControl w:val="0"/>
      </w:pPr>
      <w:bookmarkStart w:id="32" w:name="_jwnas6qwpqe" w:colFirst="0" w:colLast="0"/>
      <w:bookmarkEnd w:id="32"/>
      <w:r>
        <w:lastRenderedPageBreak/>
        <w:t>Allegato 2. Indicazioni sulle tipologie di interventi straordinari</w:t>
      </w:r>
    </w:p>
    <w:p w:rsidR="00E952EC" w:rsidRDefault="00E952EC">
      <w:pPr>
        <w:widowControl w:val="0"/>
        <w:jc w:val="left"/>
        <w:rPr>
          <w:b/>
        </w:rPr>
      </w:pPr>
    </w:p>
    <w:p w:rsidR="00E952EC" w:rsidRDefault="00E952EC"/>
    <w:tbl>
      <w:tblPr>
        <w:tblStyle w:val="a5"/>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6"/>
      </w:tblGrid>
      <w:tr w:rsidR="00E952EC">
        <w:tc>
          <w:tcPr>
            <w:tcW w:w="9026"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E952EC" w:rsidRDefault="00EE0C3B">
            <w:pPr>
              <w:pStyle w:val="Titolo2"/>
              <w:widowControl w:val="0"/>
            </w:pPr>
            <w:bookmarkStart w:id="33" w:name="_7tw527btr8sr" w:colFirst="0" w:colLast="0"/>
            <w:bookmarkEnd w:id="33"/>
            <w:r>
              <w:t>A. RAFFORZAMENTO MONITORAGGIO EPIDEMIOLOGICO</w:t>
            </w:r>
          </w:p>
        </w:tc>
      </w:tr>
    </w:tbl>
    <w:p w:rsidR="00E952EC" w:rsidRDefault="00EE0C3B">
      <w:pPr>
        <w:spacing w:before="240" w:after="240"/>
      </w:pPr>
      <w:r>
        <w:t xml:space="preserve">Come riportato nel paragrafo 6. verrà implementato il monitoraggio entomologico nelle aree soggette a interventi straordinari con adulticidi. Le zanzare catturate nell’ambito di tale attività verranno analizzate per la ricerca di WNV. Il numero ed il posizionamento delle trappole verrà valutato di volta in volta tenendo in considerazione la situazione epidemiologica in tempo reale.  </w:t>
      </w:r>
    </w:p>
    <w:p w:rsidR="00E952EC" w:rsidRDefault="00E952EC">
      <w:pPr>
        <w:rPr>
          <w:highlight w:val="yellow"/>
        </w:rPr>
      </w:pPr>
    </w:p>
    <w:p w:rsidR="00E952EC" w:rsidRDefault="00E952EC"/>
    <w:tbl>
      <w:tblPr>
        <w:tblStyle w:val="a6"/>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6"/>
      </w:tblGrid>
      <w:tr w:rsidR="00E952EC">
        <w:tc>
          <w:tcPr>
            <w:tcW w:w="9026"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E952EC" w:rsidRDefault="00EE0C3B">
            <w:pPr>
              <w:pStyle w:val="Titolo2"/>
              <w:widowControl w:val="0"/>
            </w:pPr>
            <w:bookmarkStart w:id="34" w:name="_yczdjkyxln0e" w:colFirst="0" w:colLast="0"/>
            <w:bookmarkEnd w:id="34"/>
            <w:r>
              <w:t xml:space="preserve">B. RAFFORZAMENTO COMUNICAZIONE </w:t>
            </w:r>
          </w:p>
        </w:tc>
      </w:tr>
    </w:tbl>
    <w:p w:rsidR="00E952EC" w:rsidRDefault="00E952EC"/>
    <w:p w:rsidR="00E952EC" w:rsidRDefault="00EE0C3B">
      <w:r>
        <w:t>La Direzione Regionale Prevenzione, Sicurezza Alimentare, Veterinaria - oltre a predisporre e pubblicare il Bollettino di Sorveglianza delle Arbovirosi con frequenza periodica - aggiorna in modo costante le proprie pagine web e realizza o aggiorna il materiale di comunicazione per la popolazione e per le categorie a rischio anche al fine di una modifica dei comportamenti individuali.</w:t>
      </w:r>
    </w:p>
    <w:p w:rsidR="00E952EC" w:rsidRDefault="00E952EC"/>
    <w:p w:rsidR="00E952EC" w:rsidRDefault="00EE0C3B">
      <w:r>
        <w:t xml:space="preserve">In aggiunta a ciò, sono state predisposte informative rivolte agli Operatori Sanitari, in primis i Medici di Medicina Generale, Pediatri di Libera Scelta e di Continuità Assistenziale per meglio chiarire le manifestazioni cliniche dell’infezione e sensibilizzare sull’importanza della diagnosi e notifica dei casi per poter intraprendere le necessarie azioni di Sanità Pubblica. Inoltre, sono state predisposte o aggiornate informative rivolte alla popolazione, che le Aziende ULSS hanno diffuso anche attraverso la pubblicazione sul proprio sito web o sui social media. </w:t>
      </w:r>
    </w:p>
    <w:p w:rsidR="00E952EC" w:rsidRDefault="00E952EC"/>
    <w:p w:rsidR="00E952EC" w:rsidRDefault="00EE0C3B">
      <w:r>
        <w:t xml:space="preserve">Si raccomanda, a questo punto, alle ULSS di intensificare la divulgazione di suddetti materiali informativi o di altri di propria produzione, mediante la ricondivisione periodica tramite sito web e social network. </w:t>
      </w:r>
    </w:p>
    <w:p w:rsidR="00E952EC" w:rsidRDefault="00E952EC">
      <w:pPr>
        <w:widowControl w:val="0"/>
        <w:jc w:val="left"/>
        <w:rPr>
          <w:b/>
        </w:rPr>
      </w:pPr>
    </w:p>
    <w:p w:rsidR="00E952EC" w:rsidRDefault="00E952EC"/>
    <w:p w:rsidR="00E952EC" w:rsidRDefault="00E952EC"/>
    <w:tbl>
      <w:tblPr>
        <w:tblStyle w:val="a7"/>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6"/>
      </w:tblGrid>
      <w:tr w:rsidR="00E952EC">
        <w:tc>
          <w:tcPr>
            <w:tcW w:w="9026"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E952EC" w:rsidRDefault="00EE0C3B">
            <w:pPr>
              <w:pStyle w:val="Titolo2"/>
              <w:widowControl w:val="0"/>
            </w:pPr>
            <w:bookmarkStart w:id="35" w:name="_rbmoa84qm24" w:colFirst="0" w:colLast="0"/>
            <w:bookmarkEnd w:id="35"/>
            <w:r>
              <w:t xml:space="preserve">C. RAFFORZAMENTO INTERVENTI ORDINARI DI CONTRASTO AL VETTORE </w:t>
            </w:r>
          </w:p>
        </w:tc>
      </w:tr>
    </w:tbl>
    <w:p w:rsidR="00E952EC" w:rsidRDefault="00E952EC">
      <w:pPr>
        <w:widowControl w:val="0"/>
        <w:jc w:val="left"/>
        <w:rPr>
          <w:b/>
        </w:rPr>
      </w:pPr>
    </w:p>
    <w:p w:rsidR="00E952EC" w:rsidRDefault="00EE0C3B">
      <w:pPr>
        <w:rPr>
          <w:b/>
        </w:rPr>
      </w:pPr>
      <w:r>
        <w:t xml:space="preserve">Ogni ULSS dovrà verificare l’efficacia dei piani di disinfestazione presentati dai Comuni e valutati dal Tavolo Tecnico Aziendale, i trattamenti anti larvali nelle caditoie verranno eseguiti nel caso in cui la positività media abbia superato il limite previsto dal Piano regionale (10%). Oltre alle caditoie è necessario verificare l’inserimento dei fossati nel piano di disinfestazione ordinario.  </w:t>
      </w:r>
    </w:p>
    <w:p w:rsidR="00E952EC" w:rsidRDefault="00E952EC">
      <w:pPr>
        <w:widowControl w:val="0"/>
        <w:jc w:val="left"/>
        <w:rPr>
          <w:b/>
        </w:rPr>
      </w:pPr>
    </w:p>
    <w:p w:rsidR="00E952EC" w:rsidRDefault="00E952EC">
      <w:pPr>
        <w:widowControl w:val="0"/>
        <w:jc w:val="left"/>
        <w:rPr>
          <w:b/>
        </w:rPr>
      </w:pPr>
    </w:p>
    <w:p w:rsidR="00E952EC" w:rsidRDefault="00EE0C3B">
      <w:pPr>
        <w:rPr>
          <w:b/>
        </w:rPr>
      </w:pPr>
      <w:r>
        <w:br w:type="page"/>
      </w:r>
    </w:p>
    <w:p w:rsidR="00E952EC" w:rsidRDefault="00E952EC">
      <w:pPr>
        <w:rPr>
          <w:b/>
        </w:rPr>
      </w:pPr>
    </w:p>
    <w:tbl>
      <w:tblPr>
        <w:tblStyle w:val="a8"/>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6"/>
      </w:tblGrid>
      <w:tr w:rsidR="00E952EC">
        <w:tc>
          <w:tcPr>
            <w:tcW w:w="9026"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E952EC" w:rsidRDefault="00EE0C3B">
            <w:pPr>
              <w:pStyle w:val="Titolo2"/>
              <w:widowControl w:val="0"/>
            </w:pPr>
            <w:bookmarkStart w:id="36" w:name="_647hsl0eh6k" w:colFirst="0" w:colLast="0"/>
            <w:bookmarkEnd w:id="36"/>
            <w:r>
              <w:t xml:space="preserve">D. TRATTAMENTO STRAORDINARIO LARVICIDA </w:t>
            </w:r>
          </w:p>
        </w:tc>
      </w:tr>
    </w:tbl>
    <w:p w:rsidR="00E952EC" w:rsidRDefault="00E952EC"/>
    <w:p w:rsidR="00E952EC" w:rsidRDefault="00EE0C3B">
      <w:r>
        <w:t xml:space="preserve">Il trattamento larvicida dovrà essere effettuato nelle caditoie/nei tombini stradali e nei fossati.  Particolarmente importante risulterà in questa fase l’individuazione dei fossati che per conformazione, irregolarità nel deflusso delle acque, sviluppo di vegetazione, presenza di fonti di inquinamento organico (eutrofizzazione) si dimostrano particolarmente favorevoli allo sviluppo della specie </w:t>
      </w:r>
      <w:r>
        <w:rPr>
          <w:i/>
        </w:rPr>
        <w:t>Culex pipiens</w:t>
      </w:r>
      <w:r>
        <w:t xml:space="preserve">, in particolare quelli situati nelle vicinanze di abitazioni/aree residenziali. </w:t>
      </w:r>
    </w:p>
    <w:p w:rsidR="00E952EC" w:rsidRDefault="00E952EC"/>
    <w:p w:rsidR="00E952EC" w:rsidRDefault="00EE0C3B">
      <w:pPr>
        <w:spacing w:before="40" w:after="40"/>
        <w:rPr>
          <w:b/>
        </w:rPr>
      </w:pPr>
      <w:r>
        <w:rPr>
          <w:b/>
        </w:rPr>
        <w:t>Aree interessate</w:t>
      </w:r>
    </w:p>
    <w:p w:rsidR="00E952EC" w:rsidRDefault="00EE0C3B">
      <w:r>
        <w:t>Centri abitati e frazioni entro 1 km dal centro abitato.</w:t>
      </w:r>
    </w:p>
    <w:p w:rsidR="00E952EC" w:rsidRDefault="00EE0C3B">
      <w:r>
        <w:t xml:space="preserve"> </w:t>
      </w:r>
    </w:p>
    <w:p w:rsidR="00E952EC" w:rsidRDefault="00EE0C3B">
      <w:pPr>
        <w:spacing w:before="40" w:after="40"/>
        <w:rPr>
          <w:b/>
        </w:rPr>
      </w:pPr>
      <w:r>
        <w:rPr>
          <w:b/>
        </w:rPr>
        <w:t>Tipologia di prodotto da applicare:</w:t>
      </w:r>
    </w:p>
    <w:p w:rsidR="00E952EC" w:rsidRDefault="00EE0C3B">
      <w:r>
        <w:t>Caditoie: Diflubenzuron in formulazione liquida o compressa, batteri sporigeni e/o formulati ad azione fisico meccanica</w:t>
      </w:r>
    </w:p>
    <w:p w:rsidR="00E952EC" w:rsidRDefault="00EE0C3B">
      <w:r>
        <w:t xml:space="preserve">Fossati: Prodotti a base di </w:t>
      </w:r>
      <w:r>
        <w:rPr>
          <w:i/>
        </w:rPr>
        <w:t>Bacillus thuringiensis var. israelensis</w:t>
      </w:r>
      <w:r>
        <w:t xml:space="preserve"> in associazione o meno con Lysini</w:t>
      </w:r>
      <w:r>
        <w:rPr>
          <w:i/>
        </w:rPr>
        <w:t>bacillus sphaericus</w:t>
      </w:r>
      <w:r>
        <w:t xml:space="preserve">. </w:t>
      </w:r>
    </w:p>
    <w:p w:rsidR="00E952EC" w:rsidRDefault="00E952EC"/>
    <w:p w:rsidR="00E952EC" w:rsidRDefault="00EE0C3B">
      <w:pPr>
        <w:spacing w:before="40" w:after="40"/>
        <w:rPr>
          <w:b/>
        </w:rPr>
      </w:pPr>
      <w:r>
        <w:rPr>
          <w:b/>
        </w:rPr>
        <w:t>Modalità operative</w:t>
      </w:r>
    </w:p>
    <w:p w:rsidR="00E952EC" w:rsidRDefault="00EE0C3B">
      <w:r>
        <w:t>Gli interventi verranno coordinati dalle Aziende ULSS territorialmente competenti. La ditta incaricata dell’intervento dovrà disporre di mezzi dotati di GPS al fine di tracciare i percorsi effettuati dai mezzi.</w:t>
      </w:r>
    </w:p>
    <w:p w:rsidR="00E952EC" w:rsidRDefault="00EE0C3B">
      <w:r>
        <w:t xml:space="preserve">I fossi individuati e trattati dovranno essere georeferenziati, le aree le cui caditoie sono state oggetto di disinfestazione dovranno essere mappate e i pozzetti trattati dovranno essere contati, con indicazione della loro tipologia e posizione (tombini con griglia, bocca di lupo, dislocati al centro strada o sui lati, etc.). </w:t>
      </w:r>
    </w:p>
    <w:p w:rsidR="00E952EC" w:rsidRDefault="00EE0C3B">
      <w:r>
        <w:t>In caso di pioggia, sarà necessario ripetere l’intervento perché il principio attivo viene dilavato.</w:t>
      </w:r>
    </w:p>
    <w:p w:rsidR="00E952EC" w:rsidRDefault="00E952EC"/>
    <w:p w:rsidR="00E952EC" w:rsidRDefault="00EE0C3B">
      <w:r>
        <w:t>Al termine degli interventi la Ditta dovrà provvedere alla consegna della documentazione prodotta presso il Dipartimento di Prevenzione.</w:t>
      </w:r>
    </w:p>
    <w:p w:rsidR="00E952EC" w:rsidRDefault="00EE0C3B">
      <w:r>
        <w:t>Le modalità di georeferenziazione degli interventi sono specificate con nota della Direzione Prevenzione, Sicurezza Alimentare, Veterinaria.</w:t>
      </w:r>
    </w:p>
    <w:p w:rsidR="00E952EC" w:rsidRDefault="00EE0C3B">
      <w:pPr>
        <w:spacing w:before="240" w:after="240"/>
      </w:pPr>
      <w:r>
        <w:t>Distribuzione gratuita da parte delle Aziende ULSS di prodotti larvicidi per il trattamento di aree private.</w:t>
      </w:r>
    </w:p>
    <w:p w:rsidR="00E952EC" w:rsidRDefault="00E952EC">
      <w:pPr>
        <w:pStyle w:val="Titolo2"/>
        <w:widowControl w:val="0"/>
      </w:pPr>
      <w:bookmarkStart w:id="37" w:name="_a9l39iodipft" w:colFirst="0" w:colLast="0"/>
      <w:bookmarkEnd w:id="37"/>
    </w:p>
    <w:p w:rsidR="00E952EC" w:rsidRDefault="00E952EC"/>
    <w:p w:rsidR="00E952EC" w:rsidRDefault="00E952EC"/>
    <w:tbl>
      <w:tblPr>
        <w:tblStyle w:val="a9"/>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26"/>
      </w:tblGrid>
      <w:tr w:rsidR="00E952EC">
        <w:tc>
          <w:tcPr>
            <w:tcW w:w="9026"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E952EC" w:rsidRDefault="00EE0C3B">
            <w:pPr>
              <w:pStyle w:val="Titolo2"/>
              <w:widowControl w:val="0"/>
            </w:pPr>
            <w:bookmarkStart w:id="38" w:name="_j29kn7b98zte" w:colFirst="0" w:colLast="0"/>
            <w:bookmarkEnd w:id="38"/>
            <w:r>
              <w:t xml:space="preserve">E. TRATTAMENTO STRAORDINARIO ADULTICIDA </w:t>
            </w:r>
          </w:p>
        </w:tc>
      </w:tr>
    </w:tbl>
    <w:p w:rsidR="00E952EC" w:rsidRDefault="00E952EC">
      <w:pPr>
        <w:pStyle w:val="Titolo4"/>
        <w:keepNext w:val="0"/>
        <w:keepLines w:val="0"/>
        <w:spacing w:before="40" w:after="40"/>
        <w:rPr>
          <w:color w:val="2F5496"/>
          <w:sz w:val="20"/>
          <w:szCs w:val="20"/>
        </w:rPr>
      </w:pPr>
      <w:bookmarkStart w:id="39" w:name="_5063zkabrrfh" w:colFirst="0" w:colLast="0"/>
      <w:bookmarkEnd w:id="39"/>
    </w:p>
    <w:p w:rsidR="00E952EC" w:rsidRDefault="00EE0C3B">
      <w:r>
        <w:t xml:space="preserve">Gli interventi adulticidi interesseranno le aree sensibili (parchi e aree verdi pubbliche, ospedali, strutture socio-sanitarie, impianti sportivi, aree attrezzate, ecc) </w:t>
      </w:r>
      <w:r>
        <w:rPr>
          <w:highlight w:val="white"/>
        </w:rPr>
        <w:t>individuate dai Comuni in collaborazione con le Aziende ULSS.</w:t>
      </w:r>
      <w:r>
        <w:br/>
      </w:r>
    </w:p>
    <w:p w:rsidR="00E952EC" w:rsidRDefault="00EE0C3B">
      <w:pPr>
        <w:spacing w:before="40" w:after="40"/>
        <w:rPr>
          <w:b/>
        </w:rPr>
      </w:pPr>
      <w:r>
        <w:rPr>
          <w:b/>
        </w:rPr>
        <w:t>Tipologia di prodotto da applicare:</w:t>
      </w:r>
    </w:p>
    <w:p w:rsidR="00E952EC" w:rsidRDefault="00EE0C3B">
      <w:r>
        <w:rPr>
          <w:highlight w:val="white"/>
        </w:rPr>
        <w:t>A questo scopo dovranno essere utilizzati prodotti contenenti estratto di piretro ad azione spaziale abbattente e non residuale.</w:t>
      </w:r>
    </w:p>
    <w:p w:rsidR="00E952EC" w:rsidRDefault="00E952EC"/>
    <w:p w:rsidR="00E952EC" w:rsidRDefault="00EE0C3B">
      <w:pPr>
        <w:spacing w:before="40" w:after="40"/>
        <w:rPr>
          <w:b/>
        </w:rPr>
      </w:pPr>
      <w:r>
        <w:rPr>
          <w:b/>
        </w:rPr>
        <w:t>Modalità operative</w:t>
      </w:r>
    </w:p>
    <w:p w:rsidR="00E952EC" w:rsidRDefault="00EE0C3B">
      <w:pPr>
        <w:pBdr>
          <w:top w:val="nil"/>
          <w:left w:val="nil"/>
          <w:bottom w:val="nil"/>
          <w:right w:val="nil"/>
          <w:between w:val="nil"/>
        </w:pBdr>
      </w:pPr>
      <w:r>
        <w:lastRenderedPageBreak/>
        <w:t>Gli interventi verranno coordinati dalle Aziende ULSS territorialmente competenti.</w:t>
      </w:r>
    </w:p>
    <w:p w:rsidR="00E952EC" w:rsidRDefault="00EE0C3B">
      <w:pPr>
        <w:pBdr>
          <w:top w:val="nil"/>
          <w:left w:val="nil"/>
          <w:bottom w:val="nil"/>
          <w:right w:val="nil"/>
          <w:between w:val="nil"/>
        </w:pBdr>
      </w:pPr>
      <w:r>
        <w:t>La cittadinanza dovrà essere informata degli interventi con almeno 24 h di anticipo a mezzo altoparlante, e/o affissione di avvisi pubblici nell’area da sottoporre a trattamento, e/o pubblicazione nella specifica pagina web del Comune indicando il nome del formulato insetticida utilizzato con allegata Scheda Tecnica.</w:t>
      </w:r>
    </w:p>
    <w:p w:rsidR="00E952EC" w:rsidRDefault="00EE0C3B">
      <w:pPr>
        <w:pBdr>
          <w:top w:val="nil"/>
          <w:left w:val="nil"/>
          <w:bottom w:val="nil"/>
          <w:right w:val="nil"/>
          <w:between w:val="nil"/>
        </w:pBdr>
      </w:pPr>
      <w:r>
        <w:t>I trattamenti andranno effettuati con automezzo idoneo che proceda a 5-10 km/h, con particolato a volume basso (goccioline intorno a 50 micron di diametro), dovranno coprire tutta l’area interessata.</w:t>
      </w:r>
    </w:p>
    <w:p w:rsidR="00E952EC" w:rsidRDefault="00EE0C3B">
      <w:pPr>
        <w:pBdr>
          <w:top w:val="nil"/>
          <w:left w:val="nil"/>
          <w:bottom w:val="nil"/>
          <w:right w:val="nil"/>
          <w:between w:val="nil"/>
        </w:pBdr>
      </w:pPr>
      <w:r>
        <w:t xml:space="preserve">Per ottimizzare l’efficacia di questi principi attivi che presentano un rapido effetto abbattente, ma non duraturo, se ne consiglia un uso durante le ore notturne, sia per le abitudini crepuscolari e notturne della zanzara, sia per ridurre al minimo l’effetto denaturante della luce solare su tali insetticidi. </w:t>
      </w:r>
    </w:p>
    <w:p w:rsidR="00E952EC" w:rsidRDefault="00EE0C3B">
      <w:r>
        <w:t>In caso di pioggia, sarà necessario ripetere l’intervento perché il principio attivo viene dilavato.</w:t>
      </w:r>
    </w:p>
    <w:p w:rsidR="00E952EC" w:rsidRDefault="00E952EC">
      <w:pPr>
        <w:pBdr>
          <w:top w:val="nil"/>
          <w:left w:val="nil"/>
          <w:bottom w:val="nil"/>
          <w:right w:val="nil"/>
          <w:between w:val="nil"/>
        </w:pBdr>
      </w:pPr>
    </w:p>
    <w:p w:rsidR="00E952EC" w:rsidRDefault="00EE0C3B">
      <w:pPr>
        <w:pBdr>
          <w:top w:val="nil"/>
          <w:left w:val="nil"/>
          <w:bottom w:val="nil"/>
          <w:right w:val="nil"/>
          <w:between w:val="nil"/>
        </w:pBdr>
      </w:pPr>
      <w:r>
        <w:t>La ditta incaricata dell’intervento dovrà disporre di mezzi dotati di GPS al fine di tracciare i percorsi effettuati dai mezzi. I siti individuati e trattati dovranno essere georeferenziati.</w:t>
      </w:r>
    </w:p>
    <w:p w:rsidR="00E952EC" w:rsidRDefault="00EE0C3B">
      <w:pPr>
        <w:pBdr>
          <w:top w:val="nil"/>
          <w:left w:val="nil"/>
          <w:bottom w:val="nil"/>
          <w:right w:val="nil"/>
          <w:between w:val="nil"/>
        </w:pBdr>
      </w:pPr>
      <w:r>
        <w:t>Al termine degli interventi la Ditta dovrà provvedere alla consegna della documentazione prodotta presso il Dipartimento di Prevenzione.</w:t>
      </w:r>
    </w:p>
    <w:p w:rsidR="00E952EC" w:rsidRDefault="00EE0C3B">
      <w:pPr>
        <w:pBdr>
          <w:top w:val="nil"/>
          <w:left w:val="nil"/>
          <w:bottom w:val="nil"/>
          <w:right w:val="nil"/>
          <w:between w:val="nil"/>
        </w:pBdr>
      </w:pPr>
      <w:r>
        <w:t>Le modalità di georeferenziazione degli interventi sono specificate con nota della Direzione Prevenzione, Sicurezza Alimentare, Veterinaria.</w:t>
      </w:r>
    </w:p>
    <w:p w:rsidR="00E952EC" w:rsidRDefault="00E952EC"/>
    <w:p w:rsidR="00E952EC" w:rsidRDefault="00E952EC"/>
    <w:p w:rsidR="00E952EC" w:rsidRDefault="00EE0C3B">
      <w:pPr>
        <w:spacing w:before="240"/>
      </w:pPr>
      <w:r>
        <w:t xml:space="preserve"> </w:t>
      </w:r>
    </w:p>
    <w:p w:rsidR="00E952EC" w:rsidRDefault="00E952EC"/>
    <w:sectPr w:rsidR="00E952EC" w:rsidSect="00BC4B5C">
      <w:pgSz w:w="11906" w:h="16838"/>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D1B" w:rsidRDefault="008D5D1B">
      <w:pPr>
        <w:spacing w:line="240" w:lineRule="auto"/>
      </w:pPr>
      <w:r>
        <w:separator/>
      </w:r>
    </w:p>
  </w:endnote>
  <w:endnote w:type="continuationSeparator" w:id="0">
    <w:p w:rsidR="008D5D1B" w:rsidRDefault="008D5D1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2EC" w:rsidRDefault="00BC4B5C">
    <w:pPr>
      <w:spacing w:line="240" w:lineRule="auto"/>
      <w:ind w:right="12"/>
      <w:rPr>
        <w:i/>
        <w:color w:val="666666"/>
        <w:sz w:val="6"/>
        <w:szCs w:val="6"/>
      </w:rPr>
    </w:pPr>
    <w:r>
      <w:pict>
        <v:rect id="_x0000_i1027" style="width:0;height:1.5pt" o:hralign="center" o:hrstd="t" o:hr="t" fillcolor="#a0a0a0" stroked="f"/>
      </w:pict>
    </w:r>
  </w:p>
  <w:p w:rsidR="00E952EC" w:rsidRDefault="00EE0C3B">
    <w:pPr>
      <w:ind w:right="12"/>
      <w:rPr>
        <w:i/>
        <w:color w:val="666666"/>
        <w:sz w:val="16"/>
        <w:szCs w:val="16"/>
      </w:rPr>
    </w:pPr>
    <w:r>
      <w:rPr>
        <w:i/>
        <w:color w:val="666666"/>
        <w:sz w:val="16"/>
        <w:szCs w:val="16"/>
      </w:rPr>
      <w:t>Versione del 25.08.2022</w:t>
    </w:r>
  </w:p>
  <w:p w:rsidR="00E952EC" w:rsidRDefault="00BC4B5C">
    <w:pPr>
      <w:ind w:right="12"/>
      <w:jc w:val="right"/>
      <w:rPr>
        <w:i/>
        <w:color w:val="666666"/>
        <w:sz w:val="16"/>
        <w:szCs w:val="16"/>
      </w:rPr>
    </w:pPr>
    <w:r>
      <w:rPr>
        <w:i/>
        <w:color w:val="666666"/>
        <w:sz w:val="16"/>
        <w:szCs w:val="16"/>
      </w:rPr>
      <w:fldChar w:fldCharType="begin"/>
    </w:r>
    <w:r w:rsidR="00EE0C3B">
      <w:rPr>
        <w:i/>
        <w:color w:val="666666"/>
        <w:sz w:val="16"/>
        <w:szCs w:val="16"/>
      </w:rPr>
      <w:instrText>PAGE</w:instrText>
    </w:r>
    <w:r>
      <w:rPr>
        <w:i/>
        <w:color w:val="666666"/>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2EC" w:rsidRDefault="00BC4B5C">
    <w:pPr>
      <w:spacing w:line="240" w:lineRule="auto"/>
      <w:rPr>
        <w:rFonts w:ascii="Roboto" w:eastAsia="Roboto" w:hAnsi="Roboto" w:cs="Roboto"/>
        <w:color w:val="017B93"/>
        <w:sz w:val="12"/>
        <w:szCs w:val="12"/>
      </w:rPr>
    </w:pPr>
    <w:r>
      <w:pict>
        <v:rect id="_x0000_i1028" style="width:0;height:1.5pt" o:hralign="center" o:hrstd="t" o:hr="t" fillcolor="#a0a0a0" stroked="f"/>
      </w:pict>
    </w:r>
  </w:p>
  <w:p w:rsidR="00E952EC" w:rsidRDefault="00EE0C3B">
    <w:pPr>
      <w:spacing w:line="240" w:lineRule="auto"/>
      <w:rPr>
        <w:rFonts w:ascii="Roboto" w:eastAsia="Roboto" w:hAnsi="Roboto" w:cs="Roboto"/>
        <w:color w:val="017B93"/>
        <w:sz w:val="12"/>
        <w:szCs w:val="12"/>
      </w:rPr>
    </w:pPr>
    <w:r>
      <w:rPr>
        <w:rFonts w:ascii="Roboto" w:eastAsia="Roboto" w:hAnsi="Roboto" w:cs="Roboto"/>
        <w:color w:val="017B93"/>
        <w:sz w:val="12"/>
        <w:szCs w:val="12"/>
      </w:rPr>
      <w:t>Versione del 26.8.2022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2EC" w:rsidRDefault="00BC4B5C">
    <w:pPr>
      <w:jc w:val="right"/>
    </w:pPr>
    <w:r>
      <w:fldChar w:fldCharType="begin"/>
    </w:r>
    <w:r w:rsidR="00EE0C3B">
      <w:instrText>PAGE</w:instrText>
    </w:r>
    <w:r>
      <w:fldChar w:fldCharType="separate"/>
    </w:r>
    <w:r w:rsidR="001D2A51">
      <w:rPr>
        <w:noProof/>
      </w:rPr>
      <w:t>22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D1B" w:rsidRDefault="008D5D1B">
      <w:pPr>
        <w:spacing w:line="240" w:lineRule="auto"/>
      </w:pPr>
      <w:r>
        <w:separator/>
      </w:r>
    </w:p>
  </w:footnote>
  <w:footnote w:type="continuationSeparator" w:id="0">
    <w:p w:rsidR="008D5D1B" w:rsidRDefault="008D5D1B">
      <w:pPr>
        <w:spacing w:line="240" w:lineRule="auto"/>
      </w:pPr>
      <w:r>
        <w:continuationSeparator/>
      </w:r>
    </w:p>
  </w:footnote>
  <w:footnote w:id="1">
    <w:p w:rsidR="00E952EC" w:rsidRDefault="00EE0C3B">
      <w:pPr>
        <w:spacing w:line="240" w:lineRule="auto"/>
        <w:rPr>
          <w:i/>
          <w:sz w:val="18"/>
          <w:szCs w:val="18"/>
        </w:rPr>
      </w:pPr>
      <w:r>
        <w:rPr>
          <w:vertAlign w:val="superscript"/>
        </w:rPr>
        <w:footnoteRef/>
      </w:r>
      <w:r>
        <w:rPr>
          <w:sz w:val="18"/>
          <w:szCs w:val="18"/>
        </w:rPr>
        <w:t xml:space="preserve"> </w:t>
      </w:r>
      <w:r>
        <w:rPr>
          <w:i/>
          <w:sz w:val="18"/>
          <w:szCs w:val="18"/>
        </w:rPr>
        <w:t>European Centre for Disease Prevention and Control. Vector control practices and strategies against West Nile virus. Stockholm: ECDC; 2020.</w:t>
      </w:r>
    </w:p>
  </w:footnote>
  <w:footnote w:id="2">
    <w:p w:rsidR="00E952EC" w:rsidRDefault="00EE0C3B">
      <w:pPr>
        <w:spacing w:line="240" w:lineRule="auto"/>
        <w:rPr>
          <w:sz w:val="16"/>
          <w:szCs w:val="16"/>
        </w:rPr>
      </w:pPr>
      <w:r>
        <w:rPr>
          <w:vertAlign w:val="superscript"/>
        </w:rPr>
        <w:footnoteRef/>
      </w:r>
      <w:r>
        <w:rPr>
          <w:sz w:val="16"/>
          <w:szCs w:val="16"/>
        </w:rPr>
        <w:t xml:space="preserve"> </w:t>
      </w:r>
      <w:r>
        <w:rPr>
          <w:i/>
          <w:sz w:val="16"/>
          <w:szCs w:val="16"/>
        </w:rPr>
        <w:t>Manjinder Bamotraa, Wendy Ponsb* and Ian Younga, Evaluation of a West Nile virus risk-assessment tool used at a local health unit</w:t>
      </w:r>
    </w:p>
  </w:footnote>
  <w:footnote w:id="3">
    <w:p w:rsidR="00E952EC" w:rsidRDefault="00EE0C3B">
      <w:pPr>
        <w:spacing w:line="240" w:lineRule="auto"/>
        <w:rPr>
          <w:sz w:val="16"/>
          <w:szCs w:val="16"/>
        </w:rPr>
      </w:pPr>
      <w:r>
        <w:rPr>
          <w:vertAlign w:val="superscript"/>
        </w:rPr>
        <w:footnoteRef/>
      </w:r>
      <w:r>
        <w:rPr>
          <w:sz w:val="16"/>
          <w:szCs w:val="16"/>
        </w:rPr>
        <w:t xml:space="preserve"> Cluster definito come casi umani di malattia WNV con la presenza di 2 o più casi di forme neuro-invasive, segnalate nel raggio di 2 km ed entro 15 giorni uno dall’altro dall’inizio dei sintomi. Le febbri da WNV possono essere incluse nella definizione di “caso” a meno che non emerga, dall’indagine epidemiologica, che l’infezione sia avvenuta in luoghi diversi per ciascun caso.</w:t>
      </w:r>
    </w:p>
  </w:footnote>
  <w:footnote w:id="4">
    <w:p w:rsidR="00E952EC" w:rsidRDefault="00EE0C3B">
      <w:pPr>
        <w:spacing w:line="240" w:lineRule="auto"/>
        <w:rPr>
          <w:sz w:val="16"/>
          <w:szCs w:val="16"/>
        </w:rPr>
      </w:pPr>
      <w:r>
        <w:rPr>
          <w:vertAlign w:val="superscript"/>
        </w:rPr>
        <w:footnoteRef/>
      </w:r>
      <w:r>
        <w:rPr>
          <w:sz w:val="16"/>
          <w:szCs w:val="16"/>
        </w:rPr>
        <w:t xml:space="preserve"> disponibile online </w:t>
      </w:r>
      <w:hyperlink r:id="rId1">
        <w:r>
          <w:rPr>
            <w:color w:val="1155CC"/>
            <w:sz w:val="16"/>
            <w:szCs w:val="16"/>
            <w:u w:val="single"/>
          </w:rPr>
          <w:t>https://gis.ecdc.europa.eu/portal/apps/experiencebuilder/experience/?id=4876503d343a4c1abf5941557eb071f1</w:t>
        </w:r>
      </w:hyperlink>
    </w:p>
  </w:footnote>
  <w:footnote w:id="5">
    <w:p w:rsidR="00E952EC" w:rsidRDefault="00EE0C3B">
      <w:pPr>
        <w:spacing w:line="240" w:lineRule="auto"/>
        <w:rPr>
          <w:sz w:val="16"/>
          <w:szCs w:val="16"/>
        </w:rPr>
      </w:pPr>
      <w:r>
        <w:rPr>
          <w:vertAlign w:val="superscript"/>
        </w:rPr>
        <w:footnoteRef/>
      </w:r>
      <w:r>
        <w:rPr>
          <w:sz w:val="16"/>
          <w:szCs w:val="16"/>
        </w:rPr>
        <w:t xml:space="preserve"> disponibile online </w:t>
      </w:r>
      <w:hyperlink r:id="rId2">
        <w:r>
          <w:rPr>
            <w:color w:val="1155CC"/>
            <w:sz w:val="16"/>
            <w:szCs w:val="16"/>
            <w:u w:val="single"/>
          </w:rPr>
          <w:t>https://gis.ecdc.europa.eu/portal/apps/experiencebuilder/experience/?id=4876503d343a4c1abf5941557eb071f1</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2EC" w:rsidRDefault="00EE0C3B">
    <w:pPr>
      <w:rPr>
        <w:color w:val="3D85C6"/>
        <w:sz w:val="12"/>
        <w:szCs w:val="12"/>
      </w:rPr>
    </w:pPr>
    <w:r>
      <w:rPr>
        <w:color w:val="3D85C6"/>
        <w:sz w:val="12"/>
        <w:szCs w:val="12"/>
      </w:rPr>
      <w:t>Emergenza West Nile Virus - Piano Straordinario per il contrasto alla diffusione di West Nile Virus - Agosto 2022</w:t>
    </w:r>
  </w:p>
  <w:p w:rsidR="00E952EC" w:rsidRDefault="00BC4B5C">
    <w:pPr>
      <w:spacing w:line="240" w:lineRule="auto"/>
      <w:rPr>
        <w:i/>
      </w:rPr>
    </w:pPr>
    <w:r>
      <w:pict>
        <v:rect id="_x0000_i1026" style="width:0;height:1.5pt" o:hralign="center" o:hrstd="t" o:hr="t" fillcolor="#a0a0a0"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2EC" w:rsidRDefault="00EE0C3B">
    <w:pPr>
      <w:spacing w:after="200"/>
      <w:jc w:val="center"/>
    </w:pPr>
    <w:r>
      <w:rPr>
        <w:b/>
        <w:noProof/>
        <w:lang w:val="it-IT"/>
      </w:rPr>
      <w:drawing>
        <wp:inline distT="0" distB="0" distL="0" distR="0">
          <wp:extent cx="2365924" cy="28991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2365924" cy="289910"/>
                  </a:xfrm>
                  <a:prstGeom prst="rect">
                    <a:avLst/>
                  </a:prstGeom>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D73C1"/>
    <w:multiLevelType w:val="multilevel"/>
    <w:tmpl w:val="1A6CF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9104C75"/>
    <w:multiLevelType w:val="multilevel"/>
    <w:tmpl w:val="F71EC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D813968"/>
    <w:multiLevelType w:val="multilevel"/>
    <w:tmpl w:val="15E2C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2A157DC"/>
    <w:multiLevelType w:val="multilevel"/>
    <w:tmpl w:val="BC92B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841288F"/>
    <w:multiLevelType w:val="multilevel"/>
    <w:tmpl w:val="3C1413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0230927"/>
    <w:multiLevelType w:val="multilevel"/>
    <w:tmpl w:val="94840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8ED33F9"/>
    <w:multiLevelType w:val="multilevel"/>
    <w:tmpl w:val="2DD4A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A3F482C"/>
    <w:multiLevelType w:val="multilevel"/>
    <w:tmpl w:val="00C60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68C2500"/>
    <w:multiLevelType w:val="multilevel"/>
    <w:tmpl w:val="35E04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8AF04E4"/>
    <w:multiLevelType w:val="multilevel"/>
    <w:tmpl w:val="C180C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8123967"/>
    <w:multiLevelType w:val="multilevel"/>
    <w:tmpl w:val="EC540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85016C5"/>
    <w:multiLevelType w:val="multilevel"/>
    <w:tmpl w:val="87E87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8"/>
  </w:num>
  <w:num w:numId="4">
    <w:abstractNumId w:val="10"/>
  </w:num>
  <w:num w:numId="5">
    <w:abstractNumId w:val="1"/>
  </w:num>
  <w:num w:numId="6">
    <w:abstractNumId w:val="7"/>
  </w:num>
  <w:num w:numId="7">
    <w:abstractNumId w:val="9"/>
  </w:num>
  <w:num w:numId="8">
    <w:abstractNumId w:val="6"/>
  </w:num>
  <w:num w:numId="9">
    <w:abstractNumId w:val="4"/>
  </w:num>
  <w:num w:numId="10">
    <w:abstractNumId w:val="11"/>
  </w:num>
  <w:num w:numId="11">
    <w:abstractNumId w:val="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283"/>
  <w:characterSpacingControl w:val="doNotCompress"/>
  <w:hdrShapeDefaults>
    <o:shapedefaults v:ext="edit" spidmax="5122"/>
  </w:hdrShapeDefaults>
  <w:footnotePr>
    <w:footnote w:id="-1"/>
    <w:footnote w:id="0"/>
  </w:footnotePr>
  <w:endnotePr>
    <w:endnote w:id="-1"/>
    <w:endnote w:id="0"/>
  </w:endnotePr>
  <w:compat/>
  <w:rsids>
    <w:rsidRoot w:val="00E952EC"/>
    <w:rsid w:val="001D2A51"/>
    <w:rsid w:val="005749BF"/>
    <w:rsid w:val="008D5D1B"/>
    <w:rsid w:val="00903607"/>
    <w:rsid w:val="00BC4B5C"/>
    <w:rsid w:val="00E952EC"/>
    <w:rsid w:val="00EE0C3B"/>
    <w:rsid w:val="00FD727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eastAsia="it-IT"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BC4B5C"/>
  </w:style>
  <w:style w:type="paragraph" w:styleId="Titolo1">
    <w:name w:val="heading 1"/>
    <w:basedOn w:val="Normale"/>
    <w:next w:val="Normale"/>
    <w:rsid w:val="00BC4B5C"/>
    <w:pPr>
      <w:keepNext/>
      <w:keepLines/>
      <w:outlineLvl w:val="0"/>
    </w:pPr>
    <w:rPr>
      <w:b/>
      <w:color w:val="3D85C6"/>
      <w:sz w:val="24"/>
      <w:szCs w:val="24"/>
    </w:rPr>
  </w:style>
  <w:style w:type="paragraph" w:styleId="Titolo2">
    <w:name w:val="heading 2"/>
    <w:basedOn w:val="Normale"/>
    <w:next w:val="Normale"/>
    <w:rsid w:val="00BC4B5C"/>
    <w:pPr>
      <w:keepNext/>
      <w:keepLines/>
      <w:outlineLvl w:val="1"/>
    </w:pPr>
    <w:rPr>
      <w:b/>
    </w:rPr>
  </w:style>
  <w:style w:type="paragraph" w:styleId="Titolo3">
    <w:name w:val="heading 3"/>
    <w:basedOn w:val="Normale"/>
    <w:next w:val="Normale"/>
    <w:rsid w:val="00BC4B5C"/>
    <w:pPr>
      <w:keepNext/>
      <w:keepLines/>
      <w:spacing w:before="320" w:after="80"/>
      <w:outlineLvl w:val="2"/>
    </w:pPr>
    <w:rPr>
      <w:color w:val="434343"/>
      <w:sz w:val="28"/>
      <w:szCs w:val="28"/>
    </w:rPr>
  </w:style>
  <w:style w:type="paragraph" w:styleId="Titolo4">
    <w:name w:val="heading 4"/>
    <w:basedOn w:val="Normale"/>
    <w:next w:val="Normale"/>
    <w:rsid w:val="00BC4B5C"/>
    <w:pPr>
      <w:keepNext/>
      <w:keepLines/>
      <w:spacing w:before="280" w:after="80"/>
      <w:outlineLvl w:val="3"/>
    </w:pPr>
    <w:rPr>
      <w:color w:val="666666"/>
      <w:sz w:val="24"/>
      <w:szCs w:val="24"/>
    </w:rPr>
  </w:style>
  <w:style w:type="paragraph" w:styleId="Titolo5">
    <w:name w:val="heading 5"/>
    <w:basedOn w:val="Normale"/>
    <w:next w:val="Normale"/>
    <w:rsid w:val="00BC4B5C"/>
    <w:pPr>
      <w:keepNext/>
      <w:keepLines/>
      <w:spacing w:before="240" w:after="80"/>
      <w:outlineLvl w:val="4"/>
    </w:pPr>
    <w:rPr>
      <w:color w:val="666666"/>
      <w:sz w:val="22"/>
      <w:szCs w:val="22"/>
    </w:rPr>
  </w:style>
  <w:style w:type="paragraph" w:styleId="Titolo6">
    <w:name w:val="heading 6"/>
    <w:basedOn w:val="Normale"/>
    <w:next w:val="Normale"/>
    <w:rsid w:val="00BC4B5C"/>
    <w:pPr>
      <w:keepNext/>
      <w:keepLines/>
      <w:spacing w:before="240" w:after="80"/>
      <w:outlineLvl w:val="5"/>
    </w:pPr>
    <w:rPr>
      <w:i/>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BC4B5C"/>
    <w:tblPr>
      <w:tblCellMar>
        <w:top w:w="0" w:type="dxa"/>
        <w:left w:w="0" w:type="dxa"/>
        <w:bottom w:w="0" w:type="dxa"/>
        <w:right w:w="0" w:type="dxa"/>
      </w:tblCellMar>
    </w:tblPr>
  </w:style>
  <w:style w:type="paragraph" w:styleId="Titolo">
    <w:name w:val="Title"/>
    <w:basedOn w:val="Normale"/>
    <w:next w:val="Normale"/>
    <w:rsid w:val="00BC4B5C"/>
    <w:pPr>
      <w:keepNext/>
      <w:keepLines/>
      <w:spacing w:after="60"/>
    </w:pPr>
    <w:rPr>
      <w:sz w:val="52"/>
      <w:szCs w:val="52"/>
    </w:rPr>
  </w:style>
  <w:style w:type="paragraph" w:styleId="Sottotitolo">
    <w:name w:val="Subtitle"/>
    <w:basedOn w:val="Normale"/>
    <w:next w:val="Normale"/>
    <w:rsid w:val="00BC4B5C"/>
    <w:pPr>
      <w:keepNext/>
      <w:keepLines/>
      <w:spacing w:after="320"/>
    </w:pPr>
    <w:rPr>
      <w:rFonts w:ascii="Arial" w:eastAsia="Arial" w:hAnsi="Arial" w:cs="Arial"/>
      <w:color w:val="666666"/>
      <w:sz w:val="30"/>
      <w:szCs w:val="30"/>
    </w:rPr>
  </w:style>
  <w:style w:type="table" w:customStyle="1" w:styleId="a">
    <w:basedOn w:val="TableNormal"/>
    <w:rsid w:val="00BC4B5C"/>
    <w:tblPr>
      <w:tblStyleRowBandSize w:val="1"/>
      <w:tblStyleColBandSize w:val="1"/>
      <w:tblCellMar>
        <w:top w:w="100" w:type="dxa"/>
        <w:left w:w="100" w:type="dxa"/>
        <w:bottom w:w="100" w:type="dxa"/>
        <w:right w:w="100" w:type="dxa"/>
      </w:tblCellMar>
    </w:tblPr>
  </w:style>
  <w:style w:type="table" w:customStyle="1" w:styleId="a0">
    <w:basedOn w:val="TableNormal"/>
    <w:rsid w:val="00BC4B5C"/>
    <w:tblPr>
      <w:tblStyleRowBandSize w:val="1"/>
      <w:tblStyleColBandSize w:val="1"/>
      <w:tblCellMar>
        <w:top w:w="100" w:type="dxa"/>
        <w:left w:w="100" w:type="dxa"/>
        <w:bottom w:w="100" w:type="dxa"/>
        <w:right w:w="100" w:type="dxa"/>
      </w:tblCellMar>
    </w:tblPr>
  </w:style>
  <w:style w:type="table" w:customStyle="1" w:styleId="a1">
    <w:basedOn w:val="TableNormal"/>
    <w:rsid w:val="00BC4B5C"/>
    <w:tblPr>
      <w:tblStyleRowBandSize w:val="1"/>
      <w:tblStyleColBandSize w:val="1"/>
      <w:tblCellMar>
        <w:top w:w="100" w:type="dxa"/>
        <w:left w:w="100" w:type="dxa"/>
        <w:bottom w:w="100" w:type="dxa"/>
        <w:right w:w="100" w:type="dxa"/>
      </w:tblCellMar>
    </w:tblPr>
  </w:style>
  <w:style w:type="table" w:customStyle="1" w:styleId="a2">
    <w:basedOn w:val="TableNormal"/>
    <w:rsid w:val="00BC4B5C"/>
    <w:tblPr>
      <w:tblStyleRowBandSize w:val="1"/>
      <w:tblStyleColBandSize w:val="1"/>
      <w:tblCellMar>
        <w:top w:w="100" w:type="dxa"/>
        <w:left w:w="100" w:type="dxa"/>
        <w:bottom w:w="100" w:type="dxa"/>
        <w:right w:w="100" w:type="dxa"/>
      </w:tblCellMar>
    </w:tblPr>
  </w:style>
  <w:style w:type="table" w:customStyle="1" w:styleId="a3">
    <w:basedOn w:val="TableNormal"/>
    <w:rsid w:val="00BC4B5C"/>
    <w:tblPr>
      <w:tblStyleRowBandSize w:val="1"/>
      <w:tblStyleColBandSize w:val="1"/>
      <w:tblCellMar>
        <w:top w:w="100" w:type="dxa"/>
        <w:left w:w="100" w:type="dxa"/>
        <w:bottom w:w="100" w:type="dxa"/>
        <w:right w:w="100" w:type="dxa"/>
      </w:tblCellMar>
    </w:tblPr>
  </w:style>
  <w:style w:type="table" w:customStyle="1" w:styleId="a4">
    <w:basedOn w:val="TableNormal"/>
    <w:rsid w:val="00BC4B5C"/>
    <w:tblPr>
      <w:tblStyleRowBandSize w:val="1"/>
      <w:tblStyleColBandSize w:val="1"/>
      <w:tblCellMar>
        <w:top w:w="0" w:type="dxa"/>
        <w:left w:w="108" w:type="dxa"/>
        <w:bottom w:w="0" w:type="dxa"/>
        <w:right w:w="108" w:type="dxa"/>
      </w:tblCellMar>
    </w:tblPr>
  </w:style>
  <w:style w:type="table" w:customStyle="1" w:styleId="a5">
    <w:basedOn w:val="TableNormal"/>
    <w:rsid w:val="00BC4B5C"/>
    <w:tblPr>
      <w:tblStyleRowBandSize w:val="1"/>
      <w:tblStyleColBandSize w:val="1"/>
      <w:tblCellMar>
        <w:top w:w="100" w:type="dxa"/>
        <w:left w:w="100" w:type="dxa"/>
        <w:bottom w:w="100" w:type="dxa"/>
        <w:right w:w="100" w:type="dxa"/>
      </w:tblCellMar>
    </w:tblPr>
  </w:style>
  <w:style w:type="table" w:customStyle="1" w:styleId="a6">
    <w:basedOn w:val="TableNormal"/>
    <w:rsid w:val="00BC4B5C"/>
    <w:tblPr>
      <w:tblStyleRowBandSize w:val="1"/>
      <w:tblStyleColBandSize w:val="1"/>
      <w:tblCellMar>
        <w:top w:w="100" w:type="dxa"/>
        <w:left w:w="100" w:type="dxa"/>
        <w:bottom w:w="100" w:type="dxa"/>
        <w:right w:w="100" w:type="dxa"/>
      </w:tblCellMar>
    </w:tblPr>
  </w:style>
  <w:style w:type="table" w:customStyle="1" w:styleId="a7">
    <w:basedOn w:val="TableNormal"/>
    <w:rsid w:val="00BC4B5C"/>
    <w:tblPr>
      <w:tblStyleRowBandSize w:val="1"/>
      <w:tblStyleColBandSize w:val="1"/>
      <w:tblCellMar>
        <w:top w:w="100" w:type="dxa"/>
        <w:left w:w="100" w:type="dxa"/>
        <w:bottom w:w="100" w:type="dxa"/>
        <w:right w:w="100" w:type="dxa"/>
      </w:tblCellMar>
    </w:tblPr>
  </w:style>
  <w:style w:type="table" w:customStyle="1" w:styleId="a8">
    <w:basedOn w:val="TableNormal"/>
    <w:rsid w:val="00BC4B5C"/>
    <w:tblPr>
      <w:tblStyleRowBandSize w:val="1"/>
      <w:tblStyleColBandSize w:val="1"/>
      <w:tblCellMar>
        <w:top w:w="100" w:type="dxa"/>
        <w:left w:w="100" w:type="dxa"/>
        <w:bottom w:w="100" w:type="dxa"/>
        <w:right w:w="100" w:type="dxa"/>
      </w:tblCellMar>
    </w:tblPr>
  </w:style>
  <w:style w:type="table" w:customStyle="1" w:styleId="a9">
    <w:basedOn w:val="TableNormal"/>
    <w:rsid w:val="00BC4B5C"/>
    <w:tblPr>
      <w:tblStyleRowBandSize w:val="1"/>
      <w:tblStyleColBandSize w:val="1"/>
      <w:tblCellMar>
        <w:top w:w="100" w:type="dxa"/>
        <w:left w:w="100" w:type="dxa"/>
        <w:bottom w:w="100" w:type="dxa"/>
        <w:right w:w="100" w:type="dxa"/>
      </w:tblCellMar>
    </w:tblPr>
  </w:style>
  <w:style w:type="paragraph" w:styleId="Testofumetto">
    <w:name w:val="Balloon Text"/>
    <w:basedOn w:val="Normale"/>
    <w:link w:val="TestofumettoCarattere"/>
    <w:uiPriority w:val="99"/>
    <w:semiHidden/>
    <w:unhideWhenUsed/>
    <w:rsid w:val="001D2A51"/>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2A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regione.veneto.it/web/sanita/arbovirosi" TargetMode="External"/><Relationship Id="rId18" Type="http://schemas.openxmlformats.org/officeDocument/2006/relationships/hyperlink" Target="https://www.ecdc.europa.eu/en/publications-data/european-surveillance-system-tessy"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ec.europa.eu/food/animals/animal-diseases/animal-disease-information-system-adis_en" TargetMode="External"/><Relationship Id="rId34" Type="http://schemas.openxmlformats.org/officeDocument/2006/relationships/image" Target="media/image17.pn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ec.europa.eu/food/animals/animal-diseases/animal-disease-information-system-adis_en"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yperlink" Target="http://www.izsvenezie.it"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salute.regione.veneto.it/filesharing/data/public/42f95a.php" TargetMode="External"/><Relationship Id="rId22" Type="http://schemas.openxmlformats.org/officeDocument/2006/relationships/hyperlink" Target="https://ec.europa.eu/food/animals/animal-diseases/animal-disease-information-system-adis_en"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gis.ecdc.europa.eu/portal/apps/experiencebuilder/experience/?id=4876503d343a4c1abf5941557eb071f1" TargetMode="External"/><Relationship Id="rId1" Type="http://schemas.openxmlformats.org/officeDocument/2006/relationships/hyperlink" Target="https://gis.ecdc.europa.eu/portal/apps/experiencebuilder/experience/?id=4876503d343a4c1abf5941557eb071f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5916</Words>
  <Characters>33724</Characters>
  <Application>Microsoft Office Word</Application>
  <DocSecurity>0</DocSecurity>
  <Lines>281</Lines>
  <Paragraphs>79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Russo</dc:creator>
  <cp:lastModifiedBy>Asus</cp:lastModifiedBy>
  <cp:revision>2</cp:revision>
  <dcterms:created xsi:type="dcterms:W3CDTF">2022-08-31T14:11:00Z</dcterms:created>
  <dcterms:modified xsi:type="dcterms:W3CDTF">2022-08-31T14:11:00Z</dcterms:modified>
</cp:coreProperties>
</file>